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charts/chart3.xml" ContentType="application/vnd.openxmlformats-officedocument.drawingml.chart+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Override PartName="/word/people.xml" ContentType="application/vnd.openxmlformats-officedocument.wordprocessingml.people+xml"/>
  <Override PartName="/word/commentsExtended.xml" ContentType="application/vnd.openxmlformats-officedocument.wordprocessingml.commentsExtended+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F7BABCB" w14:textId="77777777" w:rsidR="00F12DD7" w:rsidRDefault="005959FD" w:rsidP="00F12DD7">
      <w:pPr>
        <w:pStyle w:val="BodyText"/>
      </w:pPr>
      <w:bookmarkStart w:id="0" w:name="Undo_Change_font_09x58z16"/>
      <w:bookmarkStart w:id="1" w:name="_GoBack"/>
      <w:bookmarkEnd w:id="0"/>
      <w:bookmarkEnd w:id="1"/>
      <w:r>
        <w:rPr>
          <w:noProof/>
        </w:rPr>
        <w:drawing>
          <wp:anchor distT="0" distB="0" distL="114300" distR="114300" simplePos="0" relativeHeight="251686912" behindDoc="1" locked="0" layoutInCell="1" allowOverlap="1" wp14:anchorId="4F77AE51" wp14:editId="3D672E05">
            <wp:simplePos x="0" y="0"/>
            <wp:positionH relativeFrom="page">
              <wp:posOffset>-94615</wp:posOffset>
            </wp:positionH>
            <wp:positionV relativeFrom="page">
              <wp:posOffset>-1992342</wp:posOffset>
            </wp:positionV>
            <wp:extent cx="9048750" cy="6035040"/>
            <wp:effectExtent l="0" t="0" r="0" b="3810"/>
            <wp:wrapNone/>
            <wp:docPr id="3" name="Cover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9048750" cy="6035040"/>
                    </a:xfrm>
                    <a:prstGeom prst="rect">
                      <a:avLst/>
                    </a:prstGeom>
                  </pic:spPr>
                </pic:pic>
              </a:graphicData>
            </a:graphic>
            <wp14:sizeRelH relativeFrom="margin">
              <wp14:pctWidth>0</wp14:pctWidth>
            </wp14:sizeRelH>
            <wp14:sizeRelV relativeFrom="margin">
              <wp14:pctHeight>0</wp14:pctHeight>
            </wp14:sizeRelV>
          </wp:anchor>
        </w:drawing>
      </w:r>
      <w:r w:rsidR="0030437A" w:rsidRPr="00A87365">
        <w:rPr>
          <w:noProof/>
        </w:rPr>
        <mc:AlternateContent>
          <mc:Choice Requires="wps">
            <w:drawing>
              <wp:anchor distT="0" distB="0" distL="114300" distR="114300" simplePos="0" relativeHeight="251688960" behindDoc="1" locked="0" layoutInCell="0" allowOverlap="1" wp14:anchorId="3A5D526E" wp14:editId="29300CEB">
                <wp:simplePos x="0" y="0"/>
                <wp:positionH relativeFrom="page">
                  <wp:align>left</wp:align>
                </wp:positionH>
                <wp:positionV relativeFrom="page">
                  <wp:align>bottom</wp:align>
                </wp:positionV>
                <wp:extent cx="7772400" cy="8549640"/>
                <wp:effectExtent l="0" t="0" r="0" b="3810"/>
                <wp:wrapNone/>
                <wp:docPr id="6" name="CoverLowerHalfBlue"/>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772400" cy="8549640"/>
                        </a:xfrm>
                        <a:custGeom>
                          <a:avLst/>
                          <a:gdLst>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7001861 w 7560000"/>
                            <a:gd name="connsiteY6" fmla="*/ 3501586 h 7092000"/>
                            <a:gd name="connsiteX7" fmla="*/ 7023108 w 7560000"/>
                            <a:gd name="connsiteY7" fmla="*/ 2930229 h 7092000"/>
                            <a:gd name="connsiteX8" fmla="*/ 5162578 w 7560000"/>
                            <a:gd name="connsiteY8" fmla="*/ 381384 h 7092000"/>
                            <a:gd name="connsiteX9" fmla="*/ 4654234 w 7560000"/>
                            <a:gd name="connsiteY9" fmla="*/ 3140 h 7092000"/>
                            <a:gd name="connsiteX10" fmla="*/ 0 w 7560000"/>
                            <a:gd name="connsiteY10" fmla="*/ 0 h 7092000"/>
                            <a:gd name="connsiteX11" fmla="*/ 975511 w 7560000"/>
                            <a:gd name="connsiteY11" fmla="*/ 0 h 7092000"/>
                            <a:gd name="connsiteX12" fmla="*/ 884357 w 7560000"/>
                            <a:gd name="connsiteY12" fmla="*/ 5209 h 7092000"/>
                            <a:gd name="connsiteX13" fmla="*/ 527812 w 7560000"/>
                            <a:gd name="connsiteY13" fmla="*/ 742134 h 7092000"/>
                            <a:gd name="connsiteX14" fmla="*/ 2340157 w 7560000"/>
                            <a:gd name="connsiteY14" fmla="*/ 3224908 h 7092000"/>
                            <a:gd name="connsiteX15" fmla="*/ 542413 w 7560000"/>
                            <a:gd name="connsiteY15" fmla="*/ 6318621 h 7092000"/>
                            <a:gd name="connsiteX16" fmla="*/ 884876 w 7560000"/>
                            <a:gd name="connsiteY16" fmla="*/ 7085695 h 7092000"/>
                            <a:gd name="connsiteX17" fmla="*/ 976028 w 7560000"/>
                            <a:gd name="connsiteY17" fmla="*/ 7092000 h 7092000"/>
                            <a:gd name="connsiteX18" fmla="*/ 0 w 7560000"/>
                            <a:gd name="connsiteY18" fmla="*/ 709200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6126743 w 7560000"/>
                            <a:gd name="connsiteY6" fmla="*/ 3436775 h 7092000"/>
                            <a:gd name="connsiteX7" fmla="*/ 7023108 w 7560000"/>
                            <a:gd name="connsiteY7" fmla="*/ 2930229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2340157 w 7560000"/>
                            <a:gd name="connsiteY15" fmla="*/ 3224908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6126743 w 7560000"/>
                            <a:gd name="connsiteY6" fmla="*/ 3436775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2340157 w 7560000"/>
                            <a:gd name="connsiteY15" fmla="*/ 3224908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6126743 w 7560000"/>
                            <a:gd name="connsiteY6" fmla="*/ 3436775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162100 w 7560000"/>
                            <a:gd name="connsiteY3" fmla="*/ 6149617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975511 w 7560000"/>
                            <a:gd name="connsiteY11" fmla="*/ 0 h 7092000"/>
                            <a:gd name="connsiteX12" fmla="*/ 884357 w 7560000"/>
                            <a:gd name="connsiteY12" fmla="*/ 5209 h 7092000"/>
                            <a:gd name="connsiteX13" fmla="*/ 527812 w 7560000"/>
                            <a:gd name="connsiteY13" fmla="*/ 742134 h 7092000"/>
                            <a:gd name="connsiteX14" fmla="*/ 3958760 w 7560000"/>
                            <a:gd name="connsiteY14" fmla="*/ 1634564 h 7092000"/>
                            <a:gd name="connsiteX15" fmla="*/ 542413 w 7560000"/>
                            <a:gd name="connsiteY15" fmla="*/ 6318621 h 7092000"/>
                            <a:gd name="connsiteX16" fmla="*/ 884876 w 7560000"/>
                            <a:gd name="connsiteY16" fmla="*/ 7085695 h 7092000"/>
                            <a:gd name="connsiteX17" fmla="*/ 976028 w 7560000"/>
                            <a:gd name="connsiteY17" fmla="*/ 7092000 h 7092000"/>
                            <a:gd name="connsiteX18" fmla="*/ 0 w 7560000"/>
                            <a:gd name="connsiteY18" fmla="*/ 7092000 h 7092000"/>
                            <a:gd name="connsiteX19" fmla="*/ 0 w 7560000"/>
                            <a:gd name="connsiteY19" fmla="*/ 0 h 7092000"/>
                            <a:gd name="connsiteX0" fmla="*/ 4571406 w 7560000"/>
                            <a:gd name="connsiteY0" fmla="*/ 83969 h 7175969"/>
                            <a:gd name="connsiteX1" fmla="*/ 7560000 w 7560000"/>
                            <a:gd name="connsiteY1" fmla="*/ 83969 h 7175969"/>
                            <a:gd name="connsiteX2" fmla="*/ 7560000 w 7560000"/>
                            <a:gd name="connsiteY2" fmla="*/ 7175969 h 7175969"/>
                            <a:gd name="connsiteX3" fmla="*/ 1097327 w 7560000"/>
                            <a:gd name="connsiteY3" fmla="*/ 7167079 h 7175969"/>
                            <a:gd name="connsiteX4" fmla="*/ 2198465 w 7560000"/>
                            <a:gd name="connsiteY4" fmla="*/ 5086725 h 7175969"/>
                            <a:gd name="connsiteX5" fmla="*/ 2865243 w 7560000"/>
                            <a:gd name="connsiteY5" fmla="*/ 4263728 h 7175969"/>
                            <a:gd name="connsiteX6" fmla="*/ 4221661 w 7560000"/>
                            <a:gd name="connsiteY6" fmla="*/ 2472947 h 7175969"/>
                            <a:gd name="connsiteX7" fmla="*/ 5162578 w 7560000"/>
                            <a:gd name="connsiteY7" fmla="*/ 465353 h 7175969"/>
                            <a:gd name="connsiteX8" fmla="*/ 4654234 w 7560000"/>
                            <a:gd name="connsiteY8" fmla="*/ 87109 h 7175969"/>
                            <a:gd name="connsiteX9" fmla="*/ 4571406 w 7560000"/>
                            <a:gd name="connsiteY9" fmla="*/ 83969 h 7175969"/>
                            <a:gd name="connsiteX10" fmla="*/ 0 w 7560000"/>
                            <a:gd name="connsiteY10" fmla="*/ 83969 h 7175969"/>
                            <a:gd name="connsiteX11" fmla="*/ 975511 w 7560000"/>
                            <a:gd name="connsiteY11" fmla="*/ 83969 h 7175969"/>
                            <a:gd name="connsiteX12" fmla="*/ 884357 w 7560000"/>
                            <a:gd name="connsiteY12" fmla="*/ 89178 h 7175969"/>
                            <a:gd name="connsiteX13" fmla="*/ 4309295 w 7560000"/>
                            <a:gd name="connsiteY13" fmla="*/ 1272743 h 7175969"/>
                            <a:gd name="connsiteX14" fmla="*/ 3958760 w 7560000"/>
                            <a:gd name="connsiteY14" fmla="*/ 1718533 h 7175969"/>
                            <a:gd name="connsiteX15" fmla="*/ 542413 w 7560000"/>
                            <a:gd name="connsiteY15" fmla="*/ 6402590 h 7175969"/>
                            <a:gd name="connsiteX16" fmla="*/ 884876 w 7560000"/>
                            <a:gd name="connsiteY16" fmla="*/ 7169664 h 7175969"/>
                            <a:gd name="connsiteX17" fmla="*/ 976028 w 7560000"/>
                            <a:gd name="connsiteY17" fmla="*/ 7175969 h 7175969"/>
                            <a:gd name="connsiteX18" fmla="*/ 0 w 7560000"/>
                            <a:gd name="connsiteY18" fmla="*/ 7175969 h 7175969"/>
                            <a:gd name="connsiteX19" fmla="*/ 0 w 7560000"/>
                            <a:gd name="connsiteY19" fmla="*/ 83969 h 7175969"/>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975511 w 7560000"/>
                            <a:gd name="connsiteY11" fmla="*/ 0 h 7092000"/>
                            <a:gd name="connsiteX12" fmla="*/ 1257354 w 7560000"/>
                            <a:gd name="connsiteY12" fmla="*/ 1091493 h 7092000"/>
                            <a:gd name="connsiteX13" fmla="*/ 4309295 w 7560000"/>
                            <a:gd name="connsiteY13" fmla="*/ 1188774 h 7092000"/>
                            <a:gd name="connsiteX14" fmla="*/ 3958760 w 7560000"/>
                            <a:gd name="connsiteY14" fmla="*/ 1634564 h 7092000"/>
                            <a:gd name="connsiteX15" fmla="*/ 542413 w 7560000"/>
                            <a:gd name="connsiteY15" fmla="*/ 6318621 h 7092000"/>
                            <a:gd name="connsiteX16" fmla="*/ 884876 w 7560000"/>
                            <a:gd name="connsiteY16" fmla="*/ 7085695 h 7092000"/>
                            <a:gd name="connsiteX17" fmla="*/ 976028 w 7560000"/>
                            <a:gd name="connsiteY17" fmla="*/ 7092000 h 7092000"/>
                            <a:gd name="connsiteX18" fmla="*/ 0 w 7560000"/>
                            <a:gd name="connsiteY18" fmla="*/ 7092000 h 7092000"/>
                            <a:gd name="connsiteX19" fmla="*/ 0 w 7560000"/>
                            <a:gd name="connsiteY19"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1257354 w 7560000"/>
                            <a:gd name="connsiteY11" fmla="*/ 1091493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6694458 w 7560000"/>
                            <a:gd name="connsiteY8" fmla="*/ 842123 h 7092000"/>
                            <a:gd name="connsiteX9" fmla="*/ 4571406 w 7560000"/>
                            <a:gd name="connsiteY9" fmla="*/ 0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6896396 w 7560000"/>
                            <a:gd name="connsiteY7" fmla="*/ 1973846 h 7092000"/>
                            <a:gd name="connsiteX8" fmla="*/ 6694458 w 7560000"/>
                            <a:gd name="connsiteY8" fmla="*/ 842123 h 7092000"/>
                            <a:gd name="connsiteX9" fmla="*/ 4571406 w 7560000"/>
                            <a:gd name="connsiteY9" fmla="*/ 0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000"/>
                            <a:gd name="connsiteY0" fmla="*/ 1085996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6896396 w 7560000"/>
                            <a:gd name="connsiteY7" fmla="*/ 1973846 h 7092000"/>
                            <a:gd name="connsiteX8" fmla="*/ 6694458 w 7560000"/>
                            <a:gd name="connsiteY8" fmla="*/ 842123 h 7092000"/>
                            <a:gd name="connsiteX9" fmla="*/ 4541715 w 7560000"/>
                            <a:gd name="connsiteY9" fmla="*/ 1085996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000"/>
                            <a:gd name="connsiteY0" fmla="*/ 1085996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4362638 w 7560000"/>
                            <a:gd name="connsiteY7" fmla="*/ 1832857 h 7092000"/>
                            <a:gd name="connsiteX8" fmla="*/ 6694458 w 7560000"/>
                            <a:gd name="connsiteY8" fmla="*/ 842123 h 7092000"/>
                            <a:gd name="connsiteX9" fmla="*/ 4541715 w 7560000"/>
                            <a:gd name="connsiteY9" fmla="*/ 1085996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000"/>
                            <a:gd name="connsiteY0" fmla="*/ 1085996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4362638 w 7560000"/>
                            <a:gd name="connsiteY7" fmla="*/ 1832857 h 7092000"/>
                            <a:gd name="connsiteX8" fmla="*/ 4370258 w 7560000"/>
                            <a:gd name="connsiteY8" fmla="*/ 1520395 h 7092000"/>
                            <a:gd name="connsiteX9" fmla="*/ 4541715 w 7560000"/>
                            <a:gd name="connsiteY9" fmla="*/ 1085996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3231019 w 7560584"/>
                            <a:gd name="connsiteY11" fmla="*/ 720187 h 7092000"/>
                            <a:gd name="connsiteX12" fmla="*/ 4309295 w 7560584"/>
                            <a:gd name="connsiteY12" fmla="*/ 1188774 h 7092000"/>
                            <a:gd name="connsiteX13" fmla="*/ 3958760 w 7560584"/>
                            <a:gd name="connsiteY13" fmla="*/ 1634564 h 7092000"/>
                            <a:gd name="connsiteX14" fmla="*/ 542413 w 7560584"/>
                            <a:gd name="connsiteY14" fmla="*/ 6318621 h 7092000"/>
                            <a:gd name="connsiteX15" fmla="*/ 884876 w 7560584"/>
                            <a:gd name="connsiteY15" fmla="*/ 7085695 h 7092000"/>
                            <a:gd name="connsiteX16" fmla="*/ 976028 w 7560584"/>
                            <a:gd name="connsiteY16" fmla="*/ 7092000 h 7092000"/>
                            <a:gd name="connsiteX17" fmla="*/ 0 w 7560584"/>
                            <a:gd name="connsiteY17" fmla="*/ 7092000 h 7092000"/>
                            <a:gd name="connsiteX18" fmla="*/ 0 w 7560584"/>
                            <a:gd name="connsiteY18"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309295 w 7560584"/>
                            <a:gd name="connsiteY11" fmla="*/ 1188774 h 7092000"/>
                            <a:gd name="connsiteX12" fmla="*/ 3958760 w 7560584"/>
                            <a:gd name="connsiteY12" fmla="*/ 1634564 h 7092000"/>
                            <a:gd name="connsiteX13" fmla="*/ 542413 w 7560584"/>
                            <a:gd name="connsiteY13" fmla="*/ 6318621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542413 w 7560584"/>
                            <a:gd name="connsiteY13" fmla="*/ 6318621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1136736 w 7560584"/>
                            <a:gd name="connsiteY13" fmla="*/ 6261892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2923841 w 7560584"/>
                            <a:gd name="connsiteY13" fmla="*/ 6292376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884876 w 7560584"/>
                            <a:gd name="connsiteY13" fmla="*/ 7085695 h 7092000"/>
                            <a:gd name="connsiteX14" fmla="*/ 976028 w 7560584"/>
                            <a:gd name="connsiteY14" fmla="*/ 7092000 h 7092000"/>
                            <a:gd name="connsiteX15" fmla="*/ 0 w 7560584"/>
                            <a:gd name="connsiteY15" fmla="*/ 7092000 h 7092000"/>
                            <a:gd name="connsiteX16" fmla="*/ 0 w 7560584"/>
                            <a:gd name="connsiteY16"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865243 w 7560584"/>
                            <a:gd name="connsiteY4" fmla="*/ 4179759 h 7092000"/>
                            <a:gd name="connsiteX5" fmla="*/ 4221661 w 7560584"/>
                            <a:gd name="connsiteY5" fmla="*/ 2388978 h 7092000"/>
                            <a:gd name="connsiteX6" fmla="*/ 4362638 w 7560584"/>
                            <a:gd name="connsiteY6" fmla="*/ 1832857 h 7092000"/>
                            <a:gd name="connsiteX7" fmla="*/ 4370258 w 7560584"/>
                            <a:gd name="connsiteY7" fmla="*/ 1520395 h 7092000"/>
                            <a:gd name="connsiteX8" fmla="*/ 4541715 w 7560584"/>
                            <a:gd name="connsiteY8" fmla="*/ 1085996 h 7092000"/>
                            <a:gd name="connsiteX9" fmla="*/ 0 w 7560584"/>
                            <a:gd name="connsiteY9" fmla="*/ 0 h 7092000"/>
                            <a:gd name="connsiteX10" fmla="*/ 4470887 w 7560584"/>
                            <a:gd name="connsiteY10" fmla="*/ 1064352 h 7092000"/>
                            <a:gd name="connsiteX11" fmla="*/ 3958760 w 7560584"/>
                            <a:gd name="connsiteY11" fmla="*/ 1634564 h 7092000"/>
                            <a:gd name="connsiteX12" fmla="*/ 884876 w 7560584"/>
                            <a:gd name="connsiteY12" fmla="*/ 7085695 h 7092000"/>
                            <a:gd name="connsiteX13" fmla="*/ 976028 w 7560584"/>
                            <a:gd name="connsiteY13" fmla="*/ 7092000 h 7092000"/>
                            <a:gd name="connsiteX14" fmla="*/ 0 w 7560584"/>
                            <a:gd name="connsiteY14" fmla="*/ 7092000 h 7092000"/>
                            <a:gd name="connsiteX15" fmla="*/ 0 w 7560584"/>
                            <a:gd name="connsiteY15"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4470887 w 7560584"/>
                            <a:gd name="connsiteY9" fmla="*/ 1064352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611383 w 7560584"/>
                            <a:gd name="connsiteY3" fmla="*/ 5297832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4470887 w 7560584"/>
                            <a:gd name="connsiteY9" fmla="*/ 1064352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4470887 w 7560584"/>
                            <a:gd name="connsiteY9" fmla="*/ 1064352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3986958 w 7560584"/>
                            <a:gd name="connsiteY9" fmla="*/ 2257043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3964096 w 7560584"/>
                            <a:gd name="connsiteY9" fmla="*/ 1327278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633076 w 7560584"/>
                            <a:gd name="connsiteY0" fmla="*/ 3537375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633076 w 7560584"/>
                            <a:gd name="connsiteY7" fmla="*/ 3537375 h 7092000"/>
                            <a:gd name="connsiteX8" fmla="*/ 0 w 7560584"/>
                            <a:gd name="connsiteY8" fmla="*/ 0 h 7092000"/>
                            <a:gd name="connsiteX9" fmla="*/ 3964096 w 7560584"/>
                            <a:gd name="connsiteY9" fmla="*/ 1327278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3964096 w 7560584"/>
                            <a:gd name="connsiteY9" fmla="*/ 1327278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4383246 w 7560584"/>
                            <a:gd name="connsiteY9" fmla="*/ 1376814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4383246 w 7560584"/>
                            <a:gd name="connsiteY9" fmla="*/ 1376814 h 7092000"/>
                            <a:gd name="connsiteX10" fmla="*/ 884876 w 7560584"/>
                            <a:gd name="connsiteY10" fmla="*/ 7085695 h 7092000"/>
                            <a:gd name="connsiteX11" fmla="*/ 976028 w 7560584"/>
                            <a:gd name="connsiteY11" fmla="*/ 7092000 h 7092000"/>
                            <a:gd name="connsiteX12" fmla="*/ 0 w 7560584"/>
                            <a:gd name="connsiteY12" fmla="*/ 7092000 h 7092000"/>
                            <a:gd name="connsiteX13" fmla="*/ 0 w 7560584"/>
                            <a:gd name="connsiteY13"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4383246 w 7560584"/>
                            <a:gd name="connsiteY9" fmla="*/ 1376814 h 7092000"/>
                            <a:gd name="connsiteX10" fmla="*/ 976028 w 7560584"/>
                            <a:gd name="connsiteY10" fmla="*/ 7092000 h 7092000"/>
                            <a:gd name="connsiteX11" fmla="*/ 0 w 7560584"/>
                            <a:gd name="connsiteY11" fmla="*/ 7092000 h 7092000"/>
                            <a:gd name="connsiteX12" fmla="*/ 0 w 7560584"/>
                            <a:gd name="connsiteY12"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4221661 w 7560584"/>
                            <a:gd name="connsiteY3" fmla="*/ 2388978 h 7092000"/>
                            <a:gd name="connsiteX4" fmla="*/ 4362638 w 7560584"/>
                            <a:gd name="connsiteY4" fmla="*/ 1832857 h 7092000"/>
                            <a:gd name="connsiteX5" fmla="*/ 4370258 w 7560584"/>
                            <a:gd name="connsiteY5" fmla="*/ 1520395 h 7092000"/>
                            <a:gd name="connsiteX6" fmla="*/ 5823599 w 7560584"/>
                            <a:gd name="connsiteY6" fmla="*/ 1590203 h 7092000"/>
                            <a:gd name="connsiteX7" fmla="*/ 0 w 7560584"/>
                            <a:gd name="connsiteY7" fmla="*/ 0 h 7092000"/>
                            <a:gd name="connsiteX8" fmla="*/ 4383246 w 7560584"/>
                            <a:gd name="connsiteY8" fmla="*/ 1376814 h 7092000"/>
                            <a:gd name="connsiteX9" fmla="*/ 976028 w 7560584"/>
                            <a:gd name="connsiteY9" fmla="*/ 7092000 h 7092000"/>
                            <a:gd name="connsiteX10" fmla="*/ 0 w 7560584"/>
                            <a:gd name="connsiteY10" fmla="*/ 7092000 h 7092000"/>
                            <a:gd name="connsiteX11" fmla="*/ 0 w 7560584"/>
                            <a:gd name="connsiteY11"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4362638 w 7560584"/>
                            <a:gd name="connsiteY3" fmla="*/ 1832857 h 7092000"/>
                            <a:gd name="connsiteX4" fmla="*/ 4370258 w 7560584"/>
                            <a:gd name="connsiteY4" fmla="*/ 1520395 h 7092000"/>
                            <a:gd name="connsiteX5" fmla="*/ 5823599 w 7560584"/>
                            <a:gd name="connsiteY5" fmla="*/ 1590203 h 7092000"/>
                            <a:gd name="connsiteX6" fmla="*/ 0 w 7560584"/>
                            <a:gd name="connsiteY6" fmla="*/ 0 h 7092000"/>
                            <a:gd name="connsiteX7" fmla="*/ 4383246 w 7560584"/>
                            <a:gd name="connsiteY7" fmla="*/ 1376814 h 7092000"/>
                            <a:gd name="connsiteX8" fmla="*/ 976028 w 7560584"/>
                            <a:gd name="connsiteY8" fmla="*/ 7092000 h 7092000"/>
                            <a:gd name="connsiteX9" fmla="*/ 0 w 7560584"/>
                            <a:gd name="connsiteY9" fmla="*/ 7092000 h 7092000"/>
                            <a:gd name="connsiteX10" fmla="*/ 0 w 7560584"/>
                            <a:gd name="connsiteY10"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4370258 w 7560584"/>
                            <a:gd name="connsiteY3" fmla="*/ 1520395 h 7092000"/>
                            <a:gd name="connsiteX4" fmla="*/ 5823599 w 7560584"/>
                            <a:gd name="connsiteY4" fmla="*/ 1590203 h 7092000"/>
                            <a:gd name="connsiteX5" fmla="*/ 0 w 7560584"/>
                            <a:gd name="connsiteY5" fmla="*/ 0 h 7092000"/>
                            <a:gd name="connsiteX6" fmla="*/ 4383246 w 7560584"/>
                            <a:gd name="connsiteY6" fmla="*/ 1376814 h 7092000"/>
                            <a:gd name="connsiteX7" fmla="*/ 976028 w 7560584"/>
                            <a:gd name="connsiteY7" fmla="*/ 7092000 h 7092000"/>
                            <a:gd name="connsiteX8" fmla="*/ 0 w 7560584"/>
                            <a:gd name="connsiteY8" fmla="*/ 7092000 h 7092000"/>
                            <a:gd name="connsiteX9" fmla="*/ 0 w 7560584"/>
                            <a:gd name="connsiteY9"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5823599 w 7560584"/>
                            <a:gd name="connsiteY3" fmla="*/ 1590203 h 7092000"/>
                            <a:gd name="connsiteX4" fmla="*/ 0 w 7560584"/>
                            <a:gd name="connsiteY4" fmla="*/ 0 h 7092000"/>
                            <a:gd name="connsiteX5" fmla="*/ 4383246 w 7560584"/>
                            <a:gd name="connsiteY5" fmla="*/ 1376814 h 7092000"/>
                            <a:gd name="connsiteX6" fmla="*/ 976028 w 7560584"/>
                            <a:gd name="connsiteY6" fmla="*/ 7092000 h 7092000"/>
                            <a:gd name="connsiteX7" fmla="*/ 0 w 7560584"/>
                            <a:gd name="connsiteY7" fmla="*/ 7092000 h 7092000"/>
                            <a:gd name="connsiteX8" fmla="*/ 0 w 7560584"/>
                            <a:gd name="connsiteY8" fmla="*/ 0 h 7092000"/>
                            <a:gd name="connsiteX0" fmla="*/ 7560000 w 7560584"/>
                            <a:gd name="connsiteY0" fmla="*/ 7092000 h 7092000"/>
                            <a:gd name="connsiteX1" fmla="*/ 7560584 w 7560584"/>
                            <a:gd name="connsiteY1" fmla="*/ 1917907 h 7092000"/>
                            <a:gd name="connsiteX2" fmla="*/ 7560000 w 7560584"/>
                            <a:gd name="connsiteY2" fmla="*/ 7092000 h 7092000"/>
                            <a:gd name="connsiteX3" fmla="*/ 0 w 7560584"/>
                            <a:gd name="connsiteY3" fmla="*/ 0 h 7092000"/>
                            <a:gd name="connsiteX4" fmla="*/ 4383246 w 7560584"/>
                            <a:gd name="connsiteY4" fmla="*/ 1376814 h 7092000"/>
                            <a:gd name="connsiteX5" fmla="*/ 976028 w 7560584"/>
                            <a:gd name="connsiteY5" fmla="*/ 7092000 h 7092000"/>
                            <a:gd name="connsiteX6" fmla="*/ 0 w 7560584"/>
                            <a:gd name="connsiteY6" fmla="*/ 7092000 h 7092000"/>
                            <a:gd name="connsiteX7" fmla="*/ 0 w 7560584"/>
                            <a:gd name="connsiteY7" fmla="*/ 0 h 7092000"/>
                            <a:gd name="connsiteX0" fmla="*/ 0 w 4389962"/>
                            <a:gd name="connsiteY0" fmla="*/ 0 h 7092000"/>
                            <a:gd name="connsiteX1" fmla="*/ 4383246 w 4389962"/>
                            <a:gd name="connsiteY1" fmla="*/ 1376814 h 7092000"/>
                            <a:gd name="connsiteX2" fmla="*/ 976028 w 4389962"/>
                            <a:gd name="connsiteY2" fmla="*/ 7092000 h 7092000"/>
                            <a:gd name="connsiteX3" fmla="*/ 0 w 4389962"/>
                            <a:gd name="connsiteY3" fmla="*/ 7092000 h 7092000"/>
                            <a:gd name="connsiteX4" fmla="*/ 0 w 4389962"/>
                            <a:gd name="connsiteY4" fmla="*/ 0 h 7092000"/>
                            <a:gd name="connsiteX0" fmla="*/ 0 w 8095226"/>
                            <a:gd name="connsiteY0" fmla="*/ 0 h 7092000"/>
                            <a:gd name="connsiteX1" fmla="*/ 8092247 w 8095226"/>
                            <a:gd name="connsiteY1" fmla="*/ 2059187 h 7092000"/>
                            <a:gd name="connsiteX2" fmla="*/ 976028 w 8095226"/>
                            <a:gd name="connsiteY2" fmla="*/ 7092000 h 7092000"/>
                            <a:gd name="connsiteX3" fmla="*/ 0 w 8095226"/>
                            <a:gd name="connsiteY3" fmla="*/ 7092000 h 7092000"/>
                            <a:gd name="connsiteX4" fmla="*/ 0 w 8095226"/>
                            <a:gd name="connsiteY4" fmla="*/ 0 h 7092000"/>
                            <a:gd name="connsiteX0" fmla="*/ 976028 w 8183691"/>
                            <a:gd name="connsiteY0" fmla="*/ 7092000 h 7092000"/>
                            <a:gd name="connsiteX1" fmla="*/ 0 w 8183691"/>
                            <a:gd name="connsiteY1" fmla="*/ 7092000 h 7092000"/>
                            <a:gd name="connsiteX2" fmla="*/ 0 w 8183691"/>
                            <a:gd name="connsiteY2" fmla="*/ 0 h 7092000"/>
                            <a:gd name="connsiteX3" fmla="*/ 8183691 w 8183691"/>
                            <a:gd name="connsiteY3" fmla="*/ 2150639 h 7092000"/>
                            <a:gd name="connsiteX0" fmla="*/ 8084686 w 8183691"/>
                            <a:gd name="connsiteY0" fmla="*/ 6997612 h 7092000"/>
                            <a:gd name="connsiteX1" fmla="*/ 0 w 8183691"/>
                            <a:gd name="connsiteY1" fmla="*/ 7092000 h 7092000"/>
                            <a:gd name="connsiteX2" fmla="*/ 0 w 8183691"/>
                            <a:gd name="connsiteY2" fmla="*/ 0 h 7092000"/>
                            <a:gd name="connsiteX3" fmla="*/ 8183691 w 8183691"/>
                            <a:gd name="connsiteY3" fmla="*/ 2150639 h 7092000"/>
                            <a:gd name="connsiteX0" fmla="*/ 8084686 w 8084686"/>
                            <a:gd name="connsiteY0" fmla="*/ 6997612 h 7092000"/>
                            <a:gd name="connsiteX1" fmla="*/ 0 w 8084686"/>
                            <a:gd name="connsiteY1" fmla="*/ 7092000 h 7092000"/>
                            <a:gd name="connsiteX2" fmla="*/ 0 w 8084686"/>
                            <a:gd name="connsiteY2" fmla="*/ 0 h 7092000"/>
                            <a:gd name="connsiteX3" fmla="*/ 8080875 w 8084686"/>
                            <a:gd name="connsiteY3" fmla="*/ 2013461 h 7092000"/>
                            <a:gd name="connsiteX0" fmla="*/ 8092882 w 8092882"/>
                            <a:gd name="connsiteY0" fmla="*/ 6997612 h 6997612"/>
                            <a:gd name="connsiteX1" fmla="*/ 0 w 8092882"/>
                            <a:gd name="connsiteY1" fmla="*/ 6860434 h 6997612"/>
                            <a:gd name="connsiteX2" fmla="*/ 8196 w 8092882"/>
                            <a:gd name="connsiteY2" fmla="*/ 0 h 6997612"/>
                            <a:gd name="connsiteX3" fmla="*/ 8089071 w 8092882"/>
                            <a:gd name="connsiteY3" fmla="*/ 2013461 h 6997612"/>
                            <a:gd name="connsiteX0" fmla="*/ 8100933 w 8100933"/>
                            <a:gd name="connsiteY0" fmla="*/ 6860669 h 6860669"/>
                            <a:gd name="connsiteX1" fmla="*/ 0 w 8100933"/>
                            <a:gd name="connsiteY1" fmla="*/ 6860434 h 6860669"/>
                            <a:gd name="connsiteX2" fmla="*/ 8196 w 8100933"/>
                            <a:gd name="connsiteY2" fmla="*/ 0 h 6860669"/>
                            <a:gd name="connsiteX3" fmla="*/ 8089071 w 8100933"/>
                            <a:gd name="connsiteY3" fmla="*/ 2013461 h 6860669"/>
                            <a:gd name="connsiteX0" fmla="*/ 8113502 w 8113502"/>
                            <a:gd name="connsiteY0" fmla="*/ 6860669 h 6897110"/>
                            <a:gd name="connsiteX1" fmla="*/ 0 w 8113502"/>
                            <a:gd name="connsiteY1" fmla="*/ 6897110 h 6897110"/>
                            <a:gd name="connsiteX2" fmla="*/ 20765 w 8113502"/>
                            <a:gd name="connsiteY2" fmla="*/ 0 h 6897110"/>
                            <a:gd name="connsiteX3" fmla="*/ 8101640 w 8113502"/>
                            <a:gd name="connsiteY3" fmla="*/ 2013461 h 6897110"/>
                            <a:gd name="connsiteX0" fmla="*/ 8115349 w 8115349"/>
                            <a:gd name="connsiteY0" fmla="*/ 6904335 h 6904335"/>
                            <a:gd name="connsiteX1" fmla="*/ 0 w 8115349"/>
                            <a:gd name="connsiteY1" fmla="*/ 6897110 h 6904335"/>
                            <a:gd name="connsiteX2" fmla="*/ 20765 w 8115349"/>
                            <a:gd name="connsiteY2" fmla="*/ 0 h 6904335"/>
                            <a:gd name="connsiteX3" fmla="*/ 8101640 w 8115349"/>
                            <a:gd name="connsiteY3" fmla="*/ 2013461 h 6904335"/>
                            <a:gd name="connsiteX0" fmla="*/ 8111481 w 8111481"/>
                            <a:gd name="connsiteY0" fmla="*/ 6889331 h 6897110"/>
                            <a:gd name="connsiteX1" fmla="*/ 0 w 8111481"/>
                            <a:gd name="connsiteY1" fmla="*/ 6897110 h 6897110"/>
                            <a:gd name="connsiteX2" fmla="*/ 20765 w 8111481"/>
                            <a:gd name="connsiteY2" fmla="*/ 0 h 6897110"/>
                            <a:gd name="connsiteX3" fmla="*/ 8101640 w 8111481"/>
                            <a:gd name="connsiteY3" fmla="*/ 2013461 h 6897110"/>
                            <a:gd name="connsiteX0" fmla="*/ 8111481 w 8119406"/>
                            <a:gd name="connsiteY0" fmla="*/ 6889331 h 6897110"/>
                            <a:gd name="connsiteX1" fmla="*/ 0 w 8119406"/>
                            <a:gd name="connsiteY1" fmla="*/ 6897110 h 6897110"/>
                            <a:gd name="connsiteX2" fmla="*/ 20765 w 8119406"/>
                            <a:gd name="connsiteY2" fmla="*/ 0 h 6897110"/>
                            <a:gd name="connsiteX3" fmla="*/ 8119406 w 8119406"/>
                            <a:gd name="connsiteY3" fmla="*/ 2067808 h 6897110"/>
                            <a:gd name="connsiteX0" fmla="*/ 8111481 w 8119406"/>
                            <a:gd name="connsiteY0" fmla="*/ 6890656 h 6898435"/>
                            <a:gd name="connsiteX1" fmla="*/ 0 w 8119406"/>
                            <a:gd name="connsiteY1" fmla="*/ 6898435 h 6898435"/>
                            <a:gd name="connsiteX2" fmla="*/ 3479 w 8119406"/>
                            <a:gd name="connsiteY2" fmla="*/ 0 h 6898435"/>
                            <a:gd name="connsiteX3" fmla="*/ 8119406 w 8119406"/>
                            <a:gd name="connsiteY3" fmla="*/ 2069133 h 6898435"/>
                            <a:gd name="connsiteX0" fmla="*/ 8112089 w 8119406"/>
                            <a:gd name="connsiteY0" fmla="*/ 6907271 h 6907271"/>
                            <a:gd name="connsiteX1" fmla="*/ 0 w 8119406"/>
                            <a:gd name="connsiteY1" fmla="*/ 6898435 h 6907271"/>
                            <a:gd name="connsiteX2" fmla="*/ 3479 w 8119406"/>
                            <a:gd name="connsiteY2" fmla="*/ 0 h 6907271"/>
                            <a:gd name="connsiteX3" fmla="*/ 8119406 w 8119406"/>
                            <a:gd name="connsiteY3" fmla="*/ 2069133 h 6907271"/>
                            <a:gd name="connsiteX0" fmla="*/ 8104468 w 8119406"/>
                            <a:gd name="connsiteY0" fmla="*/ 6869110 h 6898435"/>
                            <a:gd name="connsiteX1" fmla="*/ 0 w 8119406"/>
                            <a:gd name="connsiteY1" fmla="*/ 6898435 h 6898435"/>
                            <a:gd name="connsiteX2" fmla="*/ 3479 w 8119406"/>
                            <a:gd name="connsiteY2" fmla="*/ 0 h 6898435"/>
                            <a:gd name="connsiteX3" fmla="*/ 8119406 w 8119406"/>
                            <a:gd name="connsiteY3" fmla="*/ 2069133 h 6898435"/>
                            <a:gd name="connsiteX0" fmla="*/ 8104468 w 8119406"/>
                            <a:gd name="connsiteY0" fmla="*/ 6895840 h 6898435"/>
                            <a:gd name="connsiteX1" fmla="*/ 0 w 8119406"/>
                            <a:gd name="connsiteY1" fmla="*/ 6898435 h 6898435"/>
                            <a:gd name="connsiteX2" fmla="*/ 3479 w 8119406"/>
                            <a:gd name="connsiteY2" fmla="*/ 0 h 6898435"/>
                            <a:gd name="connsiteX3" fmla="*/ 8119406 w 8119406"/>
                            <a:gd name="connsiteY3" fmla="*/ 2069133 h 6898435"/>
                            <a:gd name="connsiteX0" fmla="*/ 8138501 w 8138501"/>
                            <a:gd name="connsiteY0" fmla="*/ 6895707 h 6898435"/>
                            <a:gd name="connsiteX1" fmla="*/ 0 w 8138501"/>
                            <a:gd name="connsiteY1" fmla="*/ 6898435 h 6898435"/>
                            <a:gd name="connsiteX2" fmla="*/ 3479 w 8138501"/>
                            <a:gd name="connsiteY2" fmla="*/ 0 h 6898435"/>
                            <a:gd name="connsiteX3" fmla="*/ 8119406 w 8138501"/>
                            <a:gd name="connsiteY3" fmla="*/ 2069133 h 6898435"/>
                            <a:gd name="connsiteX0" fmla="*/ 8138501 w 8138501"/>
                            <a:gd name="connsiteY0" fmla="*/ 6895707 h 6898435"/>
                            <a:gd name="connsiteX1" fmla="*/ 0 w 8138501"/>
                            <a:gd name="connsiteY1" fmla="*/ 6898435 h 6898435"/>
                            <a:gd name="connsiteX2" fmla="*/ 2966 w 8138501"/>
                            <a:gd name="connsiteY2" fmla="*/ 0 h 6898435"/>
                            <a:gd name="connsiteX3" fmla="*/ 8119406 w 8138501"/>
                            <a:gd name="connsiteY3" fmla="*/ 2069133 h 6898435"/>
                            <a:gd name="connsiteX0" fmla="*/ 8138501 w 8138501"/>
                            <a:gd name="connsiteY0" fmla="*/ 6879090 h 6881818"/>
                            <a:gd name="connsiteX1" fmla="*/ 0 w 8138501"/>
                            <a:gd name="connsiteY1" fmla="*/ 6881818 h 6881818"/>
                            <a:gd name="connsiteX2" fmla="*/ 2966 w 8138501"/>
                            <a:gd name="connsiteY2" fmla="*/ 0 h 6881818"/>
                            <a:gd name="connsiteX3" fmla="*/ 8119406 w 8138501"/>
                            <a:gd name="connsiteY3" fmla="*/ 2052516 h 6881818"/>
                            <a:gd name="connsiteX0" fmla="*/ 8138501 w 8169945"/>
                            <a:gd name="connsiteY0" fmla="*/ 6879090 h 6881818"/>
                            <a:gd name="connsiteX1" fmla="*/ 0 w 8169945"/>
                            <a:gd name="connsiteY1" fmla="*/ 6881818 h 6881818"/>
                            <a:gd name="connsiteX2" fmla="*/ 2966 w 8169945"/>
                            <a:gd name="connsiteY2" fmla="*/ 0 h 6881818"/>
                            <a:gd name="connsiteX3" fmla="*/ 8169945 w 8169945"/>
                            <a:gd name="connsiteY3" fmla="*/ 2064981 h 6881818"/>
                            <a:gd name="connsiteX0" fmla="*/ 8144221 w 8175665"/>
                            <a:gd name="connsiteY0" fmla="*/ 6880923 h 6883651"/>
                            <a:gd name="connsiteX1" fmla="*/ 5720 w 8175665"/>
                            <a:gd name="connsiteY1" fmla="*/ 6883651 h 6883651"/>
                            <a:gd name="connsiteX2" fmla="*/ 1619 w 8175665"/>
                            <a:gd name="connsiteY2" fmla="*/ 0 h 6883651"/>
                            <a:gd name="connsiteX3" fmla="*/ 8175665 w 8175665"/>
                            <a:gd name="connsiteY3" fmla="*/ 2066814 h 6883651"/>
                            <a:gd name="connsiteX0" fmla="*/ 8174978 w 8175665"/>
                            <a:gd name="connsiteY0" fmla="*/ 6879381 h 6883651"/>
                            <a:gd name="connsiteX1" fmla="*/ 5720 w 8175665"/>
                            <a:gd name="connsiteY1" fmla="*/ 6883651 h 6883651"/>
                            <a:gd name="connsiteX2" fmla="*/ 1619 w 8175665"/>
                            <a:gd name="connsiteY2" fmla="*/ 0 h 6883651"/>
                            <a:gd name="connsiteX3" fmla="*/ 8175665 w 8175665"/>
                            <a:gd name="connsiteY3" fmla="*/ 2066814 h 6883651"/>
                            <a:gd name="connsiteX0" fmla="*/ 8174978 w 8175665"/>
                            <a:gd name="connsiteY0" fmla="*/ 6879381 h 6883651"/>
                            <a:gd name="connsiteX1" fmla="*/ 5720 w 8175665"/>
                            <a:gd name="connsiteY1" fmla="*/ 6883651 h 6883651"/>
                            <a:gd name="connsiteX2" fmla="*/ 1619 w 8175665"/>
                            <a:gd name="connsiteY2" fmla="*/ 0 h 6883651"/>
                            <a:gd name="connsiteX3" fmla="*/ 8175665 w 8175665"/>
                            <a:gd name="connsiteY3" fmla="*/ 2066814 h 6883651"/>
                            <a:gd name="connsiteX0" fmla="*/ 8174978 w 8186652"/>
                            <a:gd name="connsiteY0" fmla="*/ 6879381 h 6883651"/>
                            <a:gd name="connsiteX1" fmla="*/ 5720 w 8186652"/>
                            <a:gd name="connsiteY1" fmla="*/ 6883651 h 6883651"/>
                            <a:gd name="connsiteX2" fmla="*/ 1619 w 8186652"/>
                            <a:gd name="connsiteY2" fmla="*/ 0 h 6883651"/>
                            <a:gd name="connsiteX3" fmla="*/ 8186652 w 8186652"/>
                            <a:gd name="connsiteY3" fmla="*/ 1518580 h 6883651"/>
                          </a:gdLst>
                          <a:ahLst/>
                          <a:cxnLst>
                            <a:cxn ang="0">
                              <a:pos x="connsiteX0" y="connsiteY0"/>
                            </a:cxn>
                            <a:cxn ang="0">
                              <a:pos x="connsiteX1" y="connsiteY1"/>
                            </a:cxn>
                            <a:cxn ang="0">
                              <a:pos x="connsiteX2" y="connsiteY2"/>
                            </a:cxn>
                            <a:cxn ang="0">
                              <a:pos x="connsiteX3" y="connsiteY3"/>
                            </a:cxn>
                          </a:cxnLst>
                          <a:rect l="l" t="t" r="r" b="b"/>
                          <a:pathLst>
                            <a:path w="8186652" h="6883651">
                              <a:moveTo>
                                <a:pt x="8174978" y="6879381"/>
                              </a:moveTo>
                              <a:lnTo>
                                <a:pt x="5720" y="6883651"/>
                              </a:lnTo>
                              <a:cubicBezTo>
                                <a:pt x="12642" y="4584614"/>
                                <a:pt x="-5303" y="2299037"/>
                                <a:pt x="1619" y="0"/>
                              </a:cubicBezTo>
                              <a:lnTo>
                                <a:pt x="8186652" y="1518580"/>
                              </a:lnTo>
                            </a:path>
                          </a:pathLst>
                        </a:cu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4DC0652" w14:textId="77777777" w:rsidR="007B40B2" w:rsidRDefault="007B40B2" w:rsidP="00185372">
                            <w:pPr>
                              <w:jc w:val="center"/>
                            </w:pP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shape id="CoverLowerHalfBlue" o:spid="_x0000_s1026" style="position:absolute;margin-left:0;margin-top:0;width:612pt;height:673.2pt;z-index:-251627520;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middle" coordsize="8186652,6883651"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" o:allowincell="f" adj="-11796480,,5400" path="m8174978,6879381l5720,6883651c12642,4584614,-5303,2299037,1619,l8186652,1518580e" fillcolor="#00b5e2 [3204]" stroked="f" strokeweight="2pt">
                <v:stroke joinstyle="miter"/>
                <v:formulas/>
                <v:path arrowok="t" o:connecttype="custom" o:connectlocs="7761317,8544337;5431,8549640;1537,0;7772400,1886108" o:connectangles="0,0,0,0" textboxrect="0,0,8186652,6883651"/>
                <v:textbox>
                  <w:txbxContent>
                    <w:p w14:paraId="64DC0652" w14:textId="77777777" w:rsidR="007B40B2" w:rsidRDefault="007B40B2" w:rsidP="00185372">
                      <w:pPr>
                        <w:jc w:val="center"/>
                      </w:pPr>
                    </w:p>
                  </w:txbxContent>
                </v:textbox>
                <w10:wrap anchorx="page" anchory="page"/>
              </v:shape>
            </w:pict>
          </mc:Fallback>
        </mc:AlternateContent>
      </w:r>
      <w:r w:rsidR="0030437A">
        <w:rPr>
          <w:noProof/>
        </w:rPr>
        <w:drawing>
          <wp:anchor distT="0" distB="0" distL="114300" distR="114300" simplePos="0" relativeHeight="251691008" behindDoc="0" locked="0" layoutInCell="1" allowOverlap="1" wp14:anchorId="336C6DBC" wp14:editId="61BAA162">
            <wp:simplePos x="0" y="0"/>
            <wp:positionH relativeFrom="rightMargin">
              <wp:posOffset>-1043940</wp:posOffset>
            </wp:positionH>
            <wp:positionV relativeFrom="page">
              <wp:posOffset>360045</wp:posOffset>
            </wp:positionV>
            <wp:extent cx="1620000" cy="238320"/>
            <wp:effectExtent l="0" t="0" r="0" b="9525"/>
            <wp:wrapNone/>
            <wp:docPr id="8" name="AECOMLogo" descr="aecom_imagineit_reverse_1mm_border_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ECOMLogo" descr="aecom_imagineit_reverse_1mm_border_v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0000" cy="238320"/>
                    </a:xfrm>
                    <a:prstGeom prst="rect">
                      <a:avLst/>
                    </a:prstGeom>
                    <a:noFill/>
                  </pic:spPr>
                </pic:pic>
              </a:graphicData>
            </a:graphic>
            <wp14:sizeRelH relativeFrom="page">
              <wp14:pctWidth>0</wp14:pctWidth>
            </wp14:sizeRelH>
            <wp14:sizeRelV relativeFrom="page">
              <wp14:pctHeight>0</wp14:pctHeight>
            </wp14:sizeRelV>
          </wp:anchor>
        </w:drawing>
      </w:r>
      <w:r w:rsidR="00F12DD7">
        <w:rPr>
          <w:noProof/>
        </w:rPr>
        <mc:AlternateContent>
          <mc:Choice Requires="wps">
            <w:drawing>
              <wp:anchor distT="0" distB="0" distL="114300" distR="114300" simplePos="0" relativeHeight="251676672" behindDoc="0" locked="0" layoutInCell="0" allowOverlap="1" wp14:anchorId="4FCE0F82" wp14:editId="2F35BF13">
                <wp:simplePos x="0" y="0"/>
                <wp:positionH relativeFrom="column">
                  <wp:posOffset>0</wp:posOffset>
                </wp:positionH>
                <wp:positionV relativeFrom="page">
                  <wp:posOffset>361507</wp:posOffset>
                </wp:positionV>
                <wp:extent cx="4284921" cy="202019"/>
                <wp:effectExtent l="0" t="0" r="1905" b="5715"/>
                <wp:wrapNone/>
                <wp:docPr id="4" name="CoverAdditionalCompany"/>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4921" cy="202019"/>
                        </a:xfrm>
                        <a:prstGeom prst="rect">
                          <a:avLst/>
                        </a:prstGeom>
                        <a:noFill/>
                        <a:ln w="9525">
                          <a:noFill/>
                          <a:miter lim="800000"/>
                          <a:headEnd/>
                          <a:tailEnd/>
                        </a:ln>
                      </wps:spPr>
                      <wps:txbx>
                        <w:txbxContent>
                          <w:bookmarkStart w:id="2" w:name="Cover2"/>
                          <w:bookmarkStart w:id="3" w:name="Start"/>
                          <w:bookmarkStart w:id="4" w:name="DRAFT"/>
                          <w:p w14:paraId="4EA9657B" w14:textId="77777777" w:rsidR="007B40B2" w:rsidRPr="00F74319" w:rsidRDefault="007B40B2" w:rsidP="00F83749">
                            <w:pPr>
                              <w:pStyle w:val="Subtitleheading"/>
                              <w:rPr>
                                <w:b/>
                                <w:sz w:val="36"/>
                                <w:szCs w:val="36"/>
                              </w:rPr>
                            </w:pPr>
                            <w:r w:rsidRPr="0030437A">
                              <w:rPr>
                                <w:b/>
                                <w:color w:val="FFFFFF"/>
                                <w:sz w:val="36"/>
                                <w:szCs w:val="36"/>
                              </w:rPr>
                              <w:fldChar w:fldCharType="begin"/>
                            </w:r>
                            <w:r w:rsidRPr="0030437A">
                              <w:rPr>
                                <w:b/>
                                <w:color w:val="FFFFFF"/>
                                <w:sz w:val="36"/>
                                <w:szCs w:val="36"/>
                              </w:rPr>
                              <w:instrText xml:space="preserve"> DOCPROPERTY  Draft \* MERGEFORMAT </w:instrText>
                            </w:r>
                            <w:r w:rsidRPr="0030437A">
                              <w:rPr>
                                <w:b/>
                                <w:color w:val="FFFFFF"/>
                                <w:sz w:val="36"/>
                                <w:szCs w:val="36"/>
                              </w:rPr>
                              <w:fldChar w:fldCharType="separate"/>
                            </w:r>
                            <w:r>
                              <w:rPr>
                                <w:b/>
                                <w:color w:val="FFFFFF"/>
                                <w:sz w:val="36"/>
                                <w:szCs w:val="36"/>
                              </w:rPr>
                              <w:t xml:space="preserve"> </w:t>
                            </w:r>
                            <w:r w:rsidRPr="0030437A">
                              <w:rPr>
                                <w:b/>
                                <w:color w:val="FFFFFF"/>
                                <w:sz w:val="36"/>
                                <w:szCs w:val="36"/>
                              </w:rPr>
                              <w:fldChar w:fldCharType="end"/>
                            </w:r>
                            <w:r w:rsidRPr="0030437A">
                              <w:rPr>
                                <w:b/>
                                <w:color w:val="FFFFFF"/>
                                <w:sz w:val="36"/>
                                <w:szCs w:val="36"/>
                              </w:rPr>
                              <w:t xml:space="preserve"> </w:t>
                            </w:r>
                            <w:bookmarkEnd w:id="2"/>
                            <w:bookmarkEnd w:id="3"/>
                            <w:bookmarkEnd w:id="4"/>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CoverAdditionalCompany" o:spid="_x0000_s1027" type="#_x0000_t202" style="position:absolute;margin-left:0;margin-top:28.45pt;width:337.4pt;height:15.9pt;z-index:251676672;visibility:visible;mso-wrap-style:square;mso-width-percent:0;mso-height-percent:200;mso-wrap-distance-left:9pt;mso-wrap-distance-top:0;mso-wrap-distance-right:9pt;mso-wrap-distance-bottom:0;mso-position-horizontal:absolute;mso-position-horizontal-relative:text;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" o:allowincell="f" filled="f" stroked="f">
                <v:textbox style="mso-fit-shape-to-text:t" inset="0,0,0,0">
                  <w:txbxContent>
                    <w:bookmarkStart w:id="4" w:name="Cover2"/>
                    <w:bookmarkStart w:id="5" w:name="Start"/>
                    <w:bookmarkStart w:id="6" w:name="DRAFT"/>
                    <w:p w14:paraId="4EA9657B" w14:textId="77777777" w:rsidR="007B40B2" w:rsidRPr="00F74319" w:rsidRDefault="007B40B2" w:rsidP="00F83749">
                      <w:pPr>
                        <w:pStyle w:val="Subtitleheading"/>
                        <w:rPr>
                          <w:b/>
                          <w:sz w:val="36"/>
                          <w:szCs w:val="36"/>
                        </w:rPr>
                      </w:pPr>
                      <w:r w:rsidRPr="0030437A">
                        <w:rPr>
                          <w:b/>
                          <w:color w:val="FFFFFF"/>
                          <w:sz w:val="36"/>
                          <w:szCs w:val="36"/>
                        </w:rPr>
                        <w:fldChar w:fldCharType="begin"/>
                      </w:r>
                      <w:r w:rsidRPr="0030437A">
                        <w:rPr>
                          <w:b/>
                          <w:color w:val="FFFFFF"/>
                          <w:sz w:val="36"/>
                          <w:szCs w:val="36"/>
                        </w:rPr>
                        <w:instrText xml:space="preserve"> DOCPROPERTY  Draft \* MERGEFORMAT </w:instrText>
                      </w:r>
                      <w:r w:rsidRPr="0030437A">
                        <w:rPr>
                          <w:b/>
                          <w:color w:val="FFFFFF"/>
                          <w:sz w:val="36"/>
                          <w:szCs w:val="36"/>
                        </w:rPr>
                        <w:fldChar w:fldCharType="separate"/>
                      </w:r>
                      <w:r>
                        <w:rPr>
                          <w:b/>
                          <w:color w:val="FFFFFF"/>
                          <w:sz w:val="36"/>
                          <w:szCs w:val="36"/>
                        </w:rPr>
                        <w:t xml:space="preserve"> </w:t>
                      </w:r>
                      <w:r w:rsidRPr="0030437A">
                        <w:rPr>
                          <w:b/>
                          <w:color w:val="FFFFFF"/>
                          <w:sz w:val="36"/>
                          <w:szCs w:val="36"/>
                        </w:rPr>
                        <w:fldChar w:fldCharType="end"/>
                      </w:r>
                      <w:r w:rsidRPr="0030437A">
                        <w:rPr>
                          <w:b/>
                          <w:color w:val="FFFFFF"/>
                          <w:sz w:val="36"/>
                          <w:szCs w:val="36"/>
                        </w:rPr>
                        <w:t xml:space="preserve"> </w:t>
                      </w:r>
                      <w:bookmarkEnd w:id="4"/>
                      <w:bookmarkEnd w:id="5"/>
                      <w:bookmarkEnd w:id="6"/>
                    </w:p>
                  </w:txbxContent>
                </v:textbox>
                <w10:wrap anchory="page"/>
              </v:shape>
            </w:pict>
          </mc:Fallback>
        </mc:AlternateContent>
      </w:r>
    </w:p>
    <w:p w14:paraId="167A3D67" w14:textId="77777777" w:rsidR="00F12DD7" w:rsidRDefault="00606621" w:rsidP="00F12DD7">
      <w:pPr>
        <w:pStyle w:val="BodyText"/>
      </w:pPr>
      <w:r>
        <w:rPr>
          <w:noProof/>
        </w:rPr>
        <mc:AlternateContent>
          <mc:Choice Requires="wps">
            <w:drawing>
              <wp:anchor distT="0" distB="0" distL="114300" distR="114300" simplePos="0" relativeHeight="251665408" behindDoc="0" locked="0" layoutInCell="0" allowOverlap="1" wp14:anchorId="3BF0155E" wp14:editId="04708C59">
                <wp:simplePos x="0" y="0"/>
                <wp:positionH relativeFrom="column">
                  <wp:posOffset>0</wp:posOffset>
                </wp:positionH>
                <wp:positionV relativeFrom="page">
                  <wp:align>bottom</wp:align>
                </wp:positionV>
                <wp:extent cx="5943600" cy="1354455"/>
                <wp:effectExtent l="0" t="0" r="0" b="0"/>
                <wp:wrapNone/>
                <wp:docPr id="307" name="CoverFooterBox"/>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354455"/>
                        </a:xfrm>
                        <a:prstGeom prst="rect">
                          <a:avLst/>
                        </a:prstGeom>
                        <a:noFill/>
                        <a:ln w="9525">
                          <a:noFill/>
                          <a:miter lim="800000"/>
                          <a:headEnd/>
                          <a:tailEnd/>
                        </a:ln>
                      </wps:spPr>
                      <wps:txbx>
                        <w:txbxContent>
                          <w:tbl>
                            <w:tblPr>
                              <w:tblStyle w:val="Plaingrid"/>
                              <w:tblW w:w="4950" w:type="pct"/>
                              <w:tblLook w:val="04A0" w:firstRow="1" w:lastRow="0" w:firstColumn="1" w:lastColumn="0" w:noHBand="0" w:noVBand="1"/>
                            </w:tblPr>
                            <w:tblGrid>
                              <w:gridCol w:w="2722"/>
                              <w:gridCol w:w="2990"/>
                              <w:gridCol w:w="3662"/>
                            </w:tblGrid>
                            <w:tr w:rsidR="007B40B2" w:rsidRPr="0030437A" w14:paraId="31160453" w14:textId="77777777" w:rsidTr="00606621">
                              <w:trPr>
                                <w:trHeight w:val="1554"/>
                              </w:trPr>
                              <w:tc>
                                <w:tcPr>
                                  <w:tcW w:w="2635" w:type="dxa"/>
                                  <w:vAlign w:val="bottom"/>
                                </w:tcPr>
                                <w:bookmarkStart w:id="5" w:name="Cover3" w:colFirst="0" w:colLast="2"/>
                                <w:bookmarkStart w:id="6" w:name="CoverTable2"/>
                                <w:p w14:paraId="4832562E" w14:textId="77777777" w:rsidR="007B40B2" w:rsidRPr="0030437A" w:rsidRDefault="007B40B2" w:rsidP="008A19FD">
                                  <w:pPr>
                                    <w:pStyle w:val="Coverfooter"/>
                                    <w:rPr>
                                      <w:color w:val="FFFFFF"/>
                                    </w:rPr>
                                  </w:pPr>
                                  <w:r w:rsidRPr="0030437A">
                                    <w:rPr>
                                      <w:color w:val="FFFFFF"/>
                                    </w:rPr>
                                    <w:fldChar w:fldCharType="begin"/>
                                  </w:r>
                                  <w:r w:rsidRPr="0030437A">
                                    <w:rPr>
                                      <w:color w:val="FFFFFF"/>
                                    </w:rPr>
                                    <w:instrText xml:space="preserve"> DOCPROPERTY  FooterClientAddress \* MERGEFORMAT </w:instrText>
                                  </w:r>
                                  <w:r w:rsidRPr="0030437A">
                                    <w:rPr>
                                      <w:color w:val="FFFFFF"/>
                                    </w:rPr>
                                    <w:fldChar w:fldCharType="end"/>
                                  </w:r>
                                </w:p>
                              </w:tc>
                              <w:tc>
                                <w:tcPr>
                                  <w:tcW w:w="2894" w:type="dxa"/>
                                  <w:vAlign w:val="bottom"/>
                                </w:tcPr>
                                <w:p w14:paraId="4E20F0B6" w14:textId="77777777" w:rsidR="007B40B2" w:rsidRPr="0030437A" w:rsidRDefault="007B40B2" w:rsidP="00BA5047">
                                  <w:pPr>
                                    <w:pStyle w:val="Coverfooter"/>
                                    <w:jc w:val="center"/>
                                    <w:rPr>
                                      <w:b/>
                                      <w:caps/>
                                      <w:color w:val="FFFFFF"/>
                                      <w:sz w:val="18"/>
                                      <w:szCs w:val="18"/>
                                    </w:rPr>
                                  </w:pPr>
                                  <w:r w:rsidRPr="0030437A">
                                    <w:rPr>
                                      <w:b/>
                                      <w:caps/>
                                      <w:color w:val="FFFFFF"/>
                                      <w:sz w:val="18"/>
                                      <w:szCs w:val="18"/>
                                    </w:rPr>
                                    <w:fldChar w:fldCharType="begin"/>
                                  </w:r>
                                  <w:r w:rsidRPr="0030437A">
                                    <w:rPr>
                                      <w:b/>
                                      <w:caps/>
                                      <w:color w:val="FFFFFF"/>
                                      <w:sz w:val="18"/>
                                      <w:szCs w:val="18"/>
                                    </w:rPr>
                                    <w:instrText xml:space="preserve"> DOCPROPERTY  ProtectiveMarking \* MERGEFORMAT </w:instrText>
                                  </w:r>
                                  <w:r w:rsidRPr="0030437A">
                                    <w:rPr>
                                      <w:b/>
                                      <w:caps/>
                                      <w:color w:val="FFFFFF"/>
                                      <w:sz w:val="18"/>
                                      <w:szCs w:val="18"/>
                                    </w:rPr>
                                    <w:fldChar w:fldCharType="end"/>
                                  </w:r>
                                </w:p>
                                <w:p w14:paraId="60BF5354" w14:textId="77777777" w:rsidR="007B40B2" w:rsidRPr="0030437A" w:rsidRDefault="007B40B2" w:rsidP="00BA5047">
                                  <w:pPr>
                                    <w:pStyle w:val="Coverfooter"/>
                                    <w:jc w:val="center"/>
                                    <w:rPr>
                                      <w:color w:val="FFFFFF"/>
                                    </w:rPr>
                                  </w:pPr>
                                  <w:r w:rsidRPr="0030437A">
                                    <w:rPr>
                                      <w:color w:val="FFFFFF"/>
                                    </w:rPr>
                                    <w:fldChar w:fldCharType="begin"/>
                                  </w:r>
                                  <w:r w:rsidRPr="0030437A">
                                    <w:rPr>
                                      <w:color w:val="FFFFFF"/>
                                    </w:rPr>
                                    <w:instrText xml:space="preserve"> DOCPROPERTY  Copies \* MERGEFORMAT </w:instrText>
                                  </w:r>
                                  <w:r w:rsidRPr="0030437A">
                                    <w:rPr>
                                      <w:color w:val="FFFFFF"/>
                                    </w:rPr>
                                    <w:fldChar w:fldCharType="end"/>
                                  </w:r>
                                </w:p>
                              </w:tc>
                              <w:tc>
                                <w:tcPr>
                                  <w:tcW w:w="3545" w:type="dxa"/>
                                  <w:vAlign w:val="bottom"/>
                                </w:tcPr>
                                <w:p w14:paraId="26EC95DC" w14:textId="77777777" w:rsidR="007B40B2" w:rsidRPr="0030437A" w:rsidRDefault="007B40B2" w:rsidP="008A19FD">
                                  <w:pPr>
                                    <w:pStyle w:val="Coverfooter"/>
                                    <w:rPr>
                                      <w:color w:val="FFFFFF"/>
                                    </w:rPr>
                                  </w:pPr>
                                </w:p>
                                <w:p w14:paraId="5D3DD251" w14:textId="77777777" w:rsidR="007B40B2" w:rsidRPr="0030437A" w:rsidRDefault="007B40B2" w:rsidP="008A19FD">
                                  <w:pPr>
                                    <w:pStyle w:val="Coverfooter"/>
                                    <w:rPr>
                                      <w:color w:val="FFFFFF"/>
                                    </w:rPr>
                                  </w:pPr>
                                </w:p>
                                <w:p w14:paraId="27BA4C83" w14:textId="77777777" w:rsidR="007B40B2" w:rsidRPr="0030437A" w:rsidRDefault="007B40B2" w:rsidP="008A19FD">
                                  <w:pPr>
                                    <w:pStyle w:val="Coverfooter"/>
                                    <w:rPr>
                                      <w:color w:val="FFFFFF"/>
                                    </w:rPr>
                                  </w:pPr>
                                </w:p>
                              </w:tc>
                            </w:tr>
                            <w:bookmarkEnd w:id="5"/>
                            <w:bookmarkEnd w:id="6"/>
                          </w:tbl>
                          <w:p w14:paraId="34B0A99D" w14:textId="77777777" w:rsidR="007B40B2" w:rsidRDefault="007B40B2" w:rsidP="00DA79BC"/>
                        </w:txbxContent>
                      </wps:txbx>
                      <wps:bodyPr rot="0" vert="horz" wrap="square" lIns="0" tIns="0" rIns="0" bIns="3600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overFooterBox" o:spid="_x0000_s1028" type="#_x0000_t202" style="position:absolute;margin-left:0;margin-top:0;width:468pt;height:106.65pt;z-index:251665408;visibility:visible;mso-wrap-style:square;mso-width-percent:0;mso-height-percent:0;mso-wrap-distance-left:9pt;mso-wrap-distance-top:0;mso-wrap-distance-right:9pt;mso-wrap-distance-bottom:0;mso-position-horizontal:absolute;mso-position-horizontal-relative:text;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" o:allowincell="f" filled="f" stroked="f">
                <v:textbox inset="0,0,0,1mm">
                  <w:txbxContent>
                    <w:tbl>
                      <w:tblPr>
                        <w:tblStyle w:val="Plaingrid"/>
                        <w:tblW w:w="4950" w:type="pct"/>
                        <w:tblLook w:val="04A0" w:firstRow="1" w:lastRow="0" w:firstColumn="1" w:lastColumn="0" w:noHBand="0" w:noVBand="1"/>
                      </w:tblPr>
                      <w:tblGrid>
                        <w:gridCol w:w="2722"/>
                        <w:gridCol w:w="2990"/>
                        <w:gridCol w:w="3662"/>
                      </w:tblGrid>
                      <w:tr w:rsidR="007B40B2" w:rsidRPr="0030437A" w14:paraId="31160453" w14:textId="77777777" w:rsidTr="00606621">
                        <w:trPr>
                          <w:trHeight w:val="1554"/>
                        </w:trPr>
                        <w:tc>
                          <w:tcPr>
                            <w:tcW w:w="2635" w:type="dxa"/>
                            <w:vAlign w:val="bottom"/>
                          </w:tcPr>
                          <w:bookmarkStart w:id="7" w:name="Cover3" w:colFirst="0" w:colLast="2"/>
                          <w:bookmarkStart w:id="8" w:name="CoverTable2"/>
                          <w:p w14:paraId="4832562E" w14:textId="77777777" w:rsidR="007B40B2" w:rsidRPr="0030437A" w:rsidRDefault="007B40B2" w:rsidP="008A19FD">
                            <w:pPr>
                              <w:pStyle w:val="Coverfooter"/>
                              <w:rPr>
                                <w:color w:val="FFFFFF"/>
                              </w:rPr>
                            </w:pPr>
                            <w:r w:rsidRPr="0030437A">
                              <w:rPr>
                                <w:color w:val="FFFFFF"/>
                              </w:rPr>
                              <w:fldChar w:fldCharType="begin"/>
                            </w:r>
                            <w:r w:rsidRPr="0030437A">
                              <w:rPr>
                                <w:color w:val="FFFFFF"/>
                              </w:rPr>
                              <w:instrText xml:space="preserve"> DOCPROPERTY  FooterClientAddress \* MERGEFORMAT </w:instrText>
                            </w:r>
                            <w:r w:rsidRPr="0030437A">
                              <w:rPr>
                                <w:color w:val="FFFFFF"/>
                              </w:rPr>
                              <w:fldChar w:fldCharType="end"/>
                            </w:r>
                          </w:p>
                        </w:tc>
                        <w:tc>
                          <w:tcPr>
                            <w:tcW w:w="2894" w:type="dxa"/>
                            <w:vAlign w:val="bottom"/>
                          </w:tcPr>
                          <w:p w14:paraId="4E20F0B6" w14:textId="77777777" w:rsidR="007B40B2" w:rsidRPr="0030437A" w:rsidRDefault="007B40B2" w:rsidP="00BA5047">
                            <w:pPr>
                              <w:pStyle w:val="Coverfooter"/>
                              <w:jc w:val="center"/>
                              <w:rPr>
                                <w:b/>
                                <w:caps/>
                                <w:color w:val="FFFFFF"/>
                                <w:sz w:val="18"/>
                                <w:szCs w:val="18"/>
                              </w:rPr>
                            </w:pPr>
                            <w:r w:rsidRPr="0030437A">
                              <w:rPr>
                                <w:b/>
                                <w:caps/>
                                <w:color w:val="FFFFFF"/>
                                <w:sz w:val="18"/>
                                <w:szCs w:val="18"/>
                              </w:rPr>
                              <w:fldChar w:fldCharType="begin"/>
                            </w:r>
                            <w:r w:rsidRPr="0030437A">
                              <w:rPr>
                                <w:b/>
                                <w:caps/>
                                <w:color w:val="FFFFFF"/>
                                <w:sz w:val="18"/>
                                <w:szCs w:val="18"/>
                              </w:rPr>
                              <w:instrText xml:space="preserve"> DOCPROPERTY  ProtectiveMarking \* MERGEFORMAT </w:instrText>
                            </w:r>
                            <w:r w:rsidRPr="0030437A">
                              <w:rPr>
                                <w:b/>
                                <w:caps/>
                                <w:color w:val="FFFFFF"/>
                                <w:sz w:val="18"/>
                                <w:szCs w:val="18"/>
                              </w:rPr>
                              <w:fldChar w:fldCharType="end"/>
                            </w:r>
                          </w:p>
                          <w:p w14:paraId="60BF5354" w14:textId="77777777" w:rsidR="007B40B2" w:rsidRPr="0030437A" w:rsidRDefault="007B40B2" w:rsidP="00BA5047">
                            <w:pPr>
                              <w:pStyle w:val="Coverfooter"/>
                              <w:jc w:val="center"/>
                              <w:rPr>
                                <w:color w:val="FFFFFF"/>
                              </w:rPr>
                            </w:pPr>
                            <w:r w:rsidRPr="0030437A">
                              <w:rPr>
                                <w:color w:val="FFFFFF"/>
                              </w:rPr>
                              <w:fldChar w:fldCharType="begin"/>
                            </w:r>
                            <w:r w:rsidRPr="0030437A">
                              <w:rPr>
                                <w:color w:val="FFFFFF"/>
                              </w:rPr>
                              <w:instrText xml:space="preserve"> DOCPROPERTY  Copies \* MERGEFORMAT </w:instrText>
                            </w:r>
                            <w:r w:rsidRPr="0030437A">
                              <w:rPr>
                                <w:color w:val="FFFFFF"/>
                              </w:rPr>
                              <w:fldChar w:fldCharType="end"/>
                            </w:r>
                          </w:p>
                        </w:tc>
                        <w:tc>
                          <w:tcPr>
                            <w:tcW w:w="3545" w:type="dxa"/>
                            <w:vAlign w:val="bottom"/>
                          </w:tcPr>
                          <w:p w14:paraId="26EC95DC" w14:textId="77777777" w:rsidR="007B40B2" w:rsidRPr="0030437A" w:rsidRDefault="007B40B2" w:rsidP="008A19FD">
                            <w:pPr>
                              <w:pStyle w:val="Coverfooter"/>
                              <w:rPr>
                                <w:color w:val="FFFFFF"/>
                              </w:rPr>
                            </w:pPr>
                          </w:p>
                          <w:p w14:paraId="5D3DD251" w14:textId="77777777" w:rsidR="007B40B2" w:rsidRPr="0030437A" w:rsidRDefault="007B40B2" w:rsidP="008A19FD">
                            <w:pPr>
                              <w:pStyle w:val="Coverfooter"/>
                              <w:rPr>
                                <w:color w:val="FFFFFF"/>
                              </w:rPr>
                            </w:pPr>
                          </w:p>
                          <w:p w14:paraId="27BA4C83" w14:textId="77777777" w:rsidR="007B40B2" w:rsidRPr="0030437A" w:rsidRDefault="007B40B2" w:rsidP="008A19FD">
                            <w:pPr>
                              <w:pStyle w:val="Coverfooter"/>
                              <w:rPr>
                                <w:color w:val="FFFFFF"/>
                              </w:rPr>
                            </w:pPr>
                          </w:p>
                        </w:tc>
                      </w:tr>
                      <w:bookmarkEnd w:id="7"/>
                      <w:bookmarkEnd w:id="8"/>
                    </w:tbl>
                    <w:p w14:paraId="34B0A99D" w14:textId="77777777" w:rsidR="007B40B2" w:rsidRDefault="007B40B2" w:rsidP="00DA79BC"/>
                  </w:txbxContent>
                </v:textbox>
                <w10:wrap anchory="page"/>
              </v:shape>
            </w:pict>
          </mc:Fallback>
        </mc:AlternateContent>
      </w:r>
      <w:r w:rsidR="000652F7">
        <w:rPr>
          <w:noProof/>
        </w:rPr>
        <mc:AlternateContent>
          <mc:Choice Requires="wps">
            <w:drawing>
              <wp:anchor distT="0" distB="0" distL="114300" distR="114300" simplePos="0" relativeHeight="251671552" behindDoc="0" locked="0" layoutInCell="0" allowOverlap="1" wp14:anchorId="6CC4D399" wp14:editId="55F6874C">
                <wp:simplePos x="0" y="0"/>
                <wp:positionH relativeFrom="margin">
                  <wp:posOffset>0</wp:posOffset>
                </wp:positionH>
                <wp:positionV relativeFrom="page">
                  <wp:posOffset>3771900</wp:posOffset>
                </wp:positionV>
                <wp:extent cx="5943600" cy="3081659"/>
                <wp:effectExtent l="0" t="0" r="0" b="0"/>
                <wp:wrapNone/>
                <wp:docPr id="7" name="CoverTitleBox"/>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3081659"/>
                        </a:xfrm>
                        <a:prstGeom prst="rect">
                          <a:avLst/>
                        </a:prstGeom>
                        <a:noFill/>
                        <a:ln w="9525">
                          <a:noFill/>
                          <a:miter lim="800000"/>
                          <a:headEnd/>
                          <a:tailEnd/>
                        </a:ln>
                      </wps:spPr>
                      <wps:txbx>
                        <w:txbxContent>
                          <w:tbl>
                            <w:tblPr>
                              <w:tblStyle w:val="Plaingrid"/>
                              <w:tblW w:w="4800" w:type="pct"/>
                              <w:tblLook w:val="04A0" w:firstRow="1" w:lastRow="0" w:firstColumn="1" w:lastColumn="0" w:noHBand="0" w:noVBand="1"/>
                            </w:tblPr>
                            <w:tblGrid>
                              <w:gridCol w:w="9090"/>
                            </w:tblGrid>
                            <w:tr w:rsidR="007B40B2" w:rsidRPr="0030437A" w14:paraId="6ACEC2B6" w14:textId="77777777" w:rsidTr="002C4272">
                              <w:trPr>
                                <w:trHeight w:val="720"/>
                              </w:trPr>
                              <w:tc>
                                <w:tcPr>
                                  <w:tcW w:w="9090" w:type="dxa"/>
                                </w:tcPr>
                                <w:bookmarkStart w:id="9" w:name="Cover1" w:colFirst="0" w:colLast="1"/>
                                <w:bookmarkStart w:id="10" w:name="CoverTable1"/>
                                <w:p w14:paraId="71542A7B" w14:textId="151B000E" w:rsidR="007B40B2" w:rsidRDefault="007B40B2" w:rsidP="00E7679A">
                                  <w:pPr>
                                    <w:pStyle w:val="Title"/>
                                    <w:rPr>
                                      <w:color w:val="FFFFFF"/>
                                    </w:rPr>
                                  </w:pPr>
                                  <w:r w:rsidRPr="0030437A">
                                    <w:rPr>
                                      <w:color w:val="FFFFFF"/>
                                    </w:rPr>
                                    <w:fldChar w:fldCharType="begin"/>
                                  </w:r>
                                  <w:r w:rsidRPr="0030437A">
                                    <w:rPr>
                                      <w:color w:val="FFFFFF"/>
                                    </w:rPr>
                                    <w:instrText xml:space="preserve"> DOCPROPERTY  DocumentTitle \* MERGEFORMAT </w:instrText>
                                  </w:r>
                                  <w:r w:rsidRPr="0030437A">
                                    <w:rPr>
                                      <w:color w:val="FFFFFF"/>
                                    </w:rPr>
                                    <w:fldChar w:fldCharType="separate"/>
                                  </w:r>
                                  <w:r>
                                    <w:rPr>
                                      <w:color w:val="FFFFFF"/>
                                    </w:rPr>
                                    <w:t>Cowhouse Watershed</w:t>
                                  </w:r>
                                  <w:r w:rsidRPr="0030437A">
                                    <w:rPr>
                                      <w:color w:val="FFFFFF"/>
                                    </w:rPr>
                                    <w:fldChar w:fldCharType="end"/>
                                  </w:r>
                                  <w:r>
                                    <w:rPr>
                                      <w:color w:val="FFFFFF"/>
                                    </w:rPr>
                                    <w:t>, Texas</w:t>
                                  </w:r>
                                </w:p>
                                <w:p w14:paraId="44EEA892" w14:textId="6B9C1CC3" w:rsidR="007B40B2" w:rsidRPr="0030437A" w:rsidRDefault="007B40B2" w:rsidP="00E7679A">
                                  <w:pPr>
                                    <w:pStyle w:val="Title"/>
                                    <w:rPr>
                                      <w:color w:val="FFFFFF"/>
                                    </w:rPr>
                                  </w:pPr>
                                  <w:r>
                                    <w:rPr>
                                      <w:color w:val="FFFFFF"/>
                                    </w:rPr>
                                    <w:t>2D Base Level Engineering and Mapping Methods and Results</w:t>
                                  </w:r>
                                </w:p>
                                <w:p w14:paraId="45AA1C3E" w14:textId="77777777" w:rsidR="007B40B2" w:rsidRPr="0030437A" w:rsidRDefault="007B40B2" w:rsidP="00E7679A">
                                  <w:pPr>
                                    <w:rPr>
                                      <w:color w:val="FFFFFF"/>
                                    </w:rPr>
                                  </w:pPr>
                                </w:p>
                                <w:p w14:paraId="7976AD4F" w14:textId="1FD158CA" w:rsidR="007B40B2" w:rsidRPr="00EF4C85" w:rsidRDefault="007B40B2" w:rsidP="00F83749">
                                  <w:pPr>
                                    <w:pStyle w:val="Subtitleheading"/>
                                    <w:rPr>
                                      <w:color w:val="FFFFFF"/>
                                    </w:rPr>
                                  </w:pPr>
                                  <w:r w:rsidRPr="00A631AE">
                                    <w:rPr>
                                      <w:color w:val="FFFFFF"/>
                                    </w:rPr>
                                    <w:t>Texas Water Development Board Contract No. 1800012224, Task Order 10 FEMA M</w:t>
                                  </w:r>
                                  <w:r>
                                    <w:rPr>
                                      <w:color w:val="FFFFFF"/>
                                    </w:rPr>
                                    <w:t>apping Activity Statement (M</w:t>
                                  </w:r>
                                  <w:r w:rsidRPr="00A631AE">
                                    <w:rPr>
                                      <w:color w:val="FFFFFF"/>
                                    </w:rPr>
                                    <w:t>AS</w:t>
                                  </w:r>
                                  <w:r>
                                    <w:rPr>
                                      <w:color w:val="FFFFFF"/>
                                    </w:rPr>
                                    <w:t>)</w:t>
                                  </w:r>
                                  <w:r w:rsidRPr="00A631AE">
                                    <w:rPr>
                                      <w:color w:val="FFFFFF"/>
                                    </w:rPr>
                                    <w:t xml:space="preserve"> No. </w:t>
                                  </w:r>
                                  <w:r>
                                    <w:rPr>
                                      <w:color w:val="FFFFFF"/>
                                    </w:rPr>
                                    <w:t>27</w:t>
                                  </w:r>
                                </w:p>
                                <w:p w14:paraId="6680AB10" w14:textId="77777777" w:rsidR="007B40B2" w:rsidRPr="009C415B" w:rsidRDefault="007B40B2" w:rsidP="00347538">
                                  <w:pPr>
                                    <w:pStyle w:val="Subtitle"/>
                                    <w:rPr>
                                      <w:rFonts w:asciiTheme="minorHAnsi" w:hAnsiTheme="minorHAnsi" w:cstheme="minorHAnsi"/>
                                      <w:color w:val="FFFFFF"/>
                                    </w:rPr>
                                  </w:pPr>
                                  <w:r w:rsidRPr="009C415B">
                                    <w:rPr>
                                      <w:rFonts w:asciiTheme="minorHAnsi" w:hAnsiTheme="minorHAnsi" w:cstheme="minorHAnsi"/>
                                      <w:color w:val="FFFFFF"/>
                                    </w:rPr>
                                    <w:fldChar w:fldCharType="begin"/>
                                  </w:r>
                                  <w:r w:rsidRPr="009C415B">
                                    <w:rPr>
                                      <w:rFonts w:asciiTheme="minorHAnsi" w:hAnsiTheme="minorHAnsi" w:cstheme="minorHAnsi"/>
                                      <w:color w:val="FFFFFF"/>
                                    </w:rPr>
                                    <w:instrText xml:space="preserve"> DOCPROPERTY  TenderStage \* MERGEFORMAT </w:instrText>
                                  </w:r>
                                  <w:r w:rsidRPr="009C415B">
                                    <w:rPr>
                                      <w:rFonts w:asciiTheme="minorHAnsi" w:hAnsiTheme="minorHAnsi" w:cstheme="minorHAnsi"/>
                                      <w:color w:val="FFFFFF"/>
                                    </w:rPr>
                                    <w:fldChar w:fldCharType="end"/>
                                  </w:r>
                                </w:p>
                                <w:p w14:paraId="712F688A" w14:textId="77777777" w:rsidR="007B40B2" w:rsidRPr="009C415B" w:rsidRDefault="007B40B2" w:rsidP="00BA5047">
                                  <w:pPr>
                                    <w:pStyle w:val="Coverfooter"/>
                                    <w:rPr>
                                      <w:color w:val="FFFFFF"/>
                                    </w:rPr>
                                  </w:pPr>
                                </w:p>
                                <w:p w14:paraId="6D4FA063" w14:textId="102E88B6" w:rsidR="007B40B2" w:rsidRDefault="007B40B2" w:rsidP="00CC5557">
                                  <w:pPr>
                                    <w:pStyle w:val="Subtitleheading"/>
                                    <w:rPr>
                                      <w:color w:val="FFFFFF"/>
                                    </w:rPr>
                                  </w:pPr>
                                  <w:r>
                                    <w:rPr>
                                      <w:color w:val="FFFFFF"/>
                                    </w:rPr>
                                    <w:t>August 2022</w:t>
                                  </w:r>
                                </w:p>
                                <w:p w14:paraId="22C8F74B" w14:textId="77777777" w:rsidR="007B40B2" w:rsidRDefault="007B40B2" w:rsidP="00CC5557">
                                  <w:pPr>
                                    <w:pStyle w:val="Subtitleheading"/>
                                    <w:rPr>
                                      <w:color w:val="FFFFFF"/>
                                    </w:rPr>
                                  </w:pPr>
                                </w:p>
                                <w:p w14:paraId="12C3BF5B" w14:textId="77777777" w:rsidR="007B40B2" w:rsidRDefault="007B40B2" w:rsidP="00CC5557">
                                  <w:pPr>
                                    <w:pStyle w:val="Subtitleheading"/>
                                    <w:rPr>
                                      <w:color w:val="FFFFFF"/>
                                    </w:rPr>
                                  </w:pPr>
                                </w:p>
                                <w:p w14:paraId="7A90C7FE" w14:textId="77777777" w:rsidR="007B40B2" w:rsidRPr="00F75021" w:rsidRDefault="007B40B2" w:rsidP="00CC5557">
                                  <w:pPr>
                                    <w:pStyle w:val="Heading"/>
                                    <w:rPr>
                                      <w:color w:val="FFFFFF" w:themeColor="background1"/>
                                    </w:rPr>
                                  </w:pPr>
                                  <w:r w:rsidRPr="00F75021">
                                    <w:rPr>
                                      <w:color w:val="FFFFFF" w:themeColor="background1"/>
                                    </w:rPr>
                                    <w:t>Prepared for:</w:t>
                                  </w:r>
                                </w:p>
                                <w:p w14:paraId="1F55557C" w14:textId="77777777" w:rsidR="007B40B2" w:rsidRDefault="007B40B2" w:rsidP="00CC5557">
                                  <w:pPr>
                                    <w:rPr>
                                      <w:color w:val="FFFFFF" w:themeColor="background1"/>
                                    </w:rPr>
                                  </w:pPr>
                                  <w:r w:rsidRPr="00F75021">
                                    <w:rPr>
                                      <w:color w:val="FFFFFF" w:themeColor="background1"/>
                                    </w:rPr>
                                    <w:t xml:space="preserve">Texas Water Development Board </w:t>
                                  </w:r>
                                </w:p>
                                <w:p w14:paraId="27BD336A" w14:textId="77777777" w:rsidR="007B40B2" w:rsidRDefault="007B40B2" w:rsidP="00CC5557">
                                  <w:pPr>
                                    <w:rPr>
                                      <w:color w:val="FFFFFF" w:themeColor="background1"/>
                                    </w:rPr>
                                  </w:pPr>
                                  <w:r>
                                    <w:rPr>
                                      <w:color w:val="FFFFFF" w:themeColor="background1"/>
                                    </w:rPr>
                                    <w:t>Attn: Manuel Razo, GISP, CFM</w:t>
                                  </w:r>
                                </w:p>
                                <w:p w14:paraId="206A3A48" w14:textId="77777777" w:rsidR="007B40B2" w:rsidRDefault="007B40B2" w:rsidP="00CC5557">
                                  <w:pPr>
                                    <w:rPr>
                                      <w:color w:val="FFFFFF" w:themeColor="background1"/>
                                    </w:rPr>
                                  </w:pPr>
                                  <w:r>
                                    <w:rPr>
                                      <w:color w:val="FFFFFF" w:themeColor="background1"/>
                                    </w:rPr>
                                    <w:t>1700 N. Congress Avenue</w:t>
                                  </w:r>
                                </w:p>
                                <w:p w14:paraId="264AAEA7" w14:textId="77777777" w:rsidR="007B40B2" w:rsidRPr="00F75021" w:rsidRDefault="007B40B2" w:rsidP="00CC5557">
                                  <w:pPr>
                                    <w:rPr>
                                      <w:color w:val="FFFFFF" w:themeColor="background1"/>
                                    </w:rPr>
                                  </w:pPr>
                                  <w:r>
                                    <w:rPr>
                                      <w:color w:val="FFFFFF" w:themeColor="background1"/>
                                    </w:rPr>
                                    <w:t>Austin, Texas 78701</w:t>
                                  </w:r>
                                </w:p>
                                <w:p w14:paraId="1A1B15FC" w14:textId="77777777" w:rsidR="007B40B2" w:rsidRDefault="007B40B2" w:rsidP="00CC5557">
                                  <w:pPr>
                                    <w:pStyle w:val="Subtitleheading"/>
                                    <w:rPr>
                                      <w:color w:val="FFFFFF"/>
                                    </w:rPr>
                                  </w:pPr>
                                </w:p>
                                <w:p w14:paraId="631339FA" w14:textId="77777777" w:rsidR="007B40B2" w:rsidRDefault="007B40B2" w:rsidP="00CC5557">
                                  <w:pPr>
                                    <w:pStyle w:val="Subtitleheading"/>
                                    <w:rPr>
                                      <w:color w:val="FFFFFF"/>
                                    </w:rPr>
                                  </w:pPr>
                                </w:p>
                                <w:p w14:paraId="42CA6D45" w14:textId="1C272BCE" w:rsidR="007B40B2" w:rsidRPr="0030437A" w:rsidRDefault="007B40B2" w:rsidP="00CC5557">
                                  <w:pPr>
                                    <w:pStyle w:val="Subtitleheading"/>
                                    <w:rPr>
                                      <w:color w:val="FFFFFF"/>
                                    </w:rPr>
                                  </w:pPr>
                                  <w:r>
                                    <w:rPr>
                                      <w:color w:val="FFFFFF"/>
                                    </w:rPr>
                                    <w:t xml:space="preserve">Prepared By: </w:t>
                                  </w:r>
                                </w:p>
                              </w:tc>
                            </w:tr>
                          </w:tbl>
                          <w:bookmarkEnd w:id="9"/>
                          <w:bookmarkEnd w:id="10"/>
                          <w:p w14:paraId="26BA99DD" w14:textId="77777777" w:rsidR="007B40B2" w:rsidRPr="00CC5557" w:rsidRDefault="007B40B2" w:rsidP="00CC5557">
                            <w:pPr>
                              <w:rPr>
                                <w:color w:val="FFFFFF" w:themeColor="background1"/>
                              </w:rPr>
                            </w:pPr>
                            <w:r w:rsidRPr="00CC5557">
                              <w:rPr>
                                <w:color w:val="FFFFFF" w:themeColor="background1"/>
                              </w:rPr>
                              <w:t xml:space="preserve">‌AECOM Technical Services </w:t>
                            </w:r>
                          </w:p>
                          <w:p w14:paraId="5FAD699B" w14:textId="77777777" w:rsidR="007B40B2" w:rsidRPr="00CC5557" w:rsidRDefault="007B40B2" w:rsidP="00CC5557">
                            <w:pPr>
                              <w:rPr>
                                <w:color w:val="FFFFFF" w:themeColor="background1"/>
                              </w:rPr>
                            </w:pPr>
                            <w:r w:rsidRPr="00CC5557">
                              <w:rPr>
                                <w:color w:val="FFFFFF" w:themeColor="background1"/>
                              </w:rPr>
                              <w:t>13640 Briarwick Drive, Suite 200</w:t>
                            </w:r>
                          </w:p>
                          <w:p w14:paraId="1AB9539A" w14:textId="77777777" w:rsidR="007B40B2" w:rsidRPr="00CC5557" w:rsidRDefault="007B40B2" w:rsidP="00CC5557">
                            <w:pPr>
                              <w:rPr>
                                <w:color w:val="FFFFFF" w:themeColor="background1"/>
                              </w:rPr>
                            </w:pPr>
                            <w:r w:rsidRPr="00CC5557">
                              <w:rPr>
                                <w:color w:val="FFFFFF" w:themeColor="background1"/>
                              </w:rPr>
                              <w:t>Austin, TX 78729</w:t>
                            </w:r>
                          </w:p>
                          <w:p w14:paraId="52C8EAD3" w14:textId="77777777" w:rsidR="007B40B2" w:rsidRPr="00CC5557" w:rsidRDefault="007B40B2" w:rsidP="00CC5557">
                            <w:pPr>
                              <w:rPr>
                                <w:color w:val="FFFFFF" w:themeColor="background1"/>
                              </w:rPr>
                            </w:pPr>
                            <w:r w:rsidRPr="00CC5557">
                              <w:rPr>
                                <w:color w:val="FFFFFF" w:themeColor="background1"/>
                              </w:rPr>
                              <w:t>aecom.com</w:t>
                            </w:r>
                          </w:p>
                          <w:p w14:paraId="1910A75F" w14:textId="77777777" w:rsidR="007B40B2" w:rsidRDefault="007B40B2" w:rsidP="00213392"/>
                        </w:txbxContent>
                      </wps:txbx>
                      <wps:bodyPr rot="0" vert="horz" wrap="square" lIns="0" tIns="0" rIns="0" bIns="36000" anchor="t" anchorCtr="0">
                        <a:noAutofit/>
                      </wps:bodyPr>
                    </wps:wsp>
                  </a:graphicData>
                </a:graphic>
                <wp14:sizeRelH relativeFrom="margin">
                  <wp14:pctWidth>0</wp14:pctWidth>
                </wp14:sizeRelH>
                <wp14:sizeRelV relativeFrom="page">
                  <wp14:pctHeight>50000</wp14:pctHeight>
                </wp14:sizeRelV>
              </wp:anchor>
            </w:drawing>
          </mc:Choice>
          <mc:Fallback>
            <w:pict>
              <v:shape id="CoverTitleBox" o:spid="_x0000_s1029" type="#_x0000_t202" style="position:absolute;margin-left:0;margin-top:297pt;width:468pt;height:242.65pt;z-index:251671552;visibility:visible;mso-wrap-style:square;mso-width-percent:0;mso-height-percent:500;mso-wrap-distance-left:9pt;mso-wrap-distance-top:0;mso-wrap-distance-right:9pt;mso-wrap-distance-bottom:0;mso-position-horizontal:absolute;mso-position-horizontal-relative:margin;mso-position-vertical:absolute;mso-position-vertical-relative:page;mso-width-percent:0;mso-height-percent:50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" o:allowincell="f" filled="f" stroked="f">
                <v:textbox inset="0,0,0,1mm">
                  <w:txbxContent>
                    <w:tbl>
                      <w:tblPr>
                        <w:tblStyle w:val="Plaingrid"/>
                        <w:tblW w:w="4800" w:type="pct"/>
                        <w:tblLook w:val="04A0" w:firstRow="1" w:lastRow="0" w:firstColumn="1" w:lastColumn="0" w:noHBand="0" w:noVBand="1"/>
                      </w:tblPr>
                      <w:tblGrid>
                        <w:gridCol w:w="9090"/>
                      </w:tblGrid>
                      <w:tr w:rsidR="007B40B2" w:rsidRPr="0030437A" w14:paraId="6ACEC2B6" w14:textId="77777777" w:rsidTr="002C4272">
                        <w:trPr>
                          <w:trHeight w:val="720"/>
                        </w:trPr>
                        <w:tc>
                          <w:tcPr>
                            <w:tcW w:w="9090" w:type="dxa"/>
                          </w:tcPr>
                          <w:bookmarkStart w:id="11" w:name="Cover1" w:colFirst="0" w:colLast="1"/>
                          <w:bookmarkStart w:id="12" w:name="CoverTable1"/>
                          <w:p w14:paraId="71542A7B" w14:textId="151B000E" w:rsidR="007B40B2" w:rsidRDefault="007B40B2" w:rsidP="00E7679A">
                            <w:pPr>
                              <w:pStyle w:val="Title"/>
                              <w:rPr>
                                <w:color w:val="FFFFFF"/>
                              </w:rPr>
                            </w:pPr>
                            <w:r w:rsidRPr="0030437A">
                              <w:rPr>
                                <w:color w:val="FFFFFF"/>
                              </w:rPr>
                              <w:fldChar w:fldCharType="begin"/>
                            </w:r>
                            <w:r w:rsidRPr="0030437A">
                              <w:rPr>
                                <w:color w:val="FFFFFF"/>
                              </w:rPr>
                              <w:instrText xml:space="preserve"> DOCPROPERTY  DocumentTitle \* MERGEFORMAT </w:instrText>
                            </w:r>
                            <w:r w:rsidRPr="0030437A">
                              <w:rPr>
                                <w:color w:val="FFFFFF"/>
                              </w:rPr>
                              <w:fldChar w:fldCharType="separate"/>
                            </w:r>
                            <w:r>
                              <w:rPr>
                                <w:color w:val="FFFFFF"/>
                              </w:rPr>
                              <w:t>Cowhouse Watershed</w:t>
                            </w:r>
                            <w:r w:rsidRPr="0030437A">
                              <w:rPr>
                                <w:color w:val="FFFFFF"/>
                              </w:rPr>
                              <w:fldChar w:fldCharType="end"/>
                            </w:r>
                            <w:r>
                              <w:rPr>
                                <w:color w:val="FFFFFF"/>
                              </w:rPr>
                              <w:t>, Texas</w:t>
                            </w:r>
                          </w:p>
                          <w:p w14:paraId="44EEA892" w14:textId="6B9C1CC3" w:rsidR="007B40B2" w:rsidRPr="0030437A" w:rsidRDefault="007B40B2" w:rsidP="00E7679A">
                            <w:pPr>
                              <w:pStyle w:val="Title"/>
                              <w:rPr>
                                <w:color w:val="FFFFFF"/>
                              </w:rPr>
                            </w:pPr>
                            <w:r>
                              <w:rPr>
                                <w:color w:val="FFFFFF"/>
                              </w:rPr>
                              <w:t>2D Base Level Engineering and Mapping Methods and Results</w:t>
                            </w:r>
                          </w:p>
                          <w:p w14:paraId="45AA1C3E" w14:textId="77777777" w:rsidR="007B40B2" w:rsidRPr="0030437A" w:rsidRDefault="007B40B2" w:rsidP="00E7679A">
                            <w:pPr>
                              <w:rPr>
                                <w:color w:val="FFFFFF"/>
                              </w:rPr>
                            </w:pPr>
                          </w:p>
                          <w:p w14:paraId="7976AD4F" w14:textId="1FD158CA" w:rsidR="007B40B2" w:rsidRPr="00EF4C85" w:rsidRDefault="007B40B2" w:rsidP="00F83749">
                            <w:pPr>
                              <w:pStyle w:val="Subtitleheading"/>
                              <w:rPr>
                                <w:color w:val="FFFFFF"/>
                              </w:rPr>
                            </w:pPr>
                            <w:r w:rsidRPr="00A631AE">
                              <w:rPr>
                                <w:color w:val="FFFFFF"/>
                              </w:rPr>
                              <w:t>Texas Water Development Board Contract No. 1800012224, Task Order 10 FEMA M</w:t>
                            </w:r>
                            <w:r>
                              <w:rPr>
                                <w:color w:val="FFFFFF"/>
                              </w:rPr>
                              <w:t>apping Activity Statement (M</w:t>
                            </w:r>
                            <w:r w:rsidRPr="00A631AE">
                              <w:rPr>
                                <w:color w:val="FFFFFF"/>
                              </w:rPr>
                              <w:t>AS</w:t>
                            </w:r>
                            <w:r>
                              <w:rPr>
                                <w:color w:val="FFFFFF"/>
                              </w:rPr>
                              <w:t>)</w:t>
                            </w:r>
                            <w:r w:rsidRPr="00A631AE">
                              <w:rPr>
                                <w:color w:val="FFFFFF"/>
                              </w:rPr>
                              <w:t xml:space="preserve"> No. </w:t>
                            </w:r>
                            <w:r>
                              <w:rPr>
                                <w:color w:val="FFFFFF"/>
                              </w:rPr>
                              <w:t>27</w:t>
                            </w:r>
                          </w:p>
                          <w:p w14:paraId="6680AB10" w14:textId="77777777" w:rsidR="007B40B2" w:rsidRPr="009C415B" w:rsidRDefault="007B40B2" w:rsidP="00347538">
                            <w:pPr>
                              <w:pStyle w:val="Subtitle"/>
                              <w:rPr>
                                <w:rFonts w:asciiTheme="minorHAnsi" w:hAnsiTheme="minorHAnsi" w:cstheme="minorHAnsi"/>
                                <w:color w:val="FFFFFF"/>
                              </w:rPr>
                            </w:pPr>
                            <w:r w:rsidRPr="009C415B">
                              <w:rPr>
                                <w:rFonts w:asciiTheme="minorHAnsi" w:hAnsiTheme="minorHAnsi" w:cstheme="minorHAnsi"/>
                                <w:color w:val="FFFFFF"/>
                              </w:rPr>
                              <w:fldChar w:fldCharType="begin"/>
                            </w:r>
                            <w:r w:rsidRPr="009C415B">
                              <w:rPr>
                                <w:rFonts w:asciiTheme="minorHAnsi" w:hAnsiTheme="minorHAnsi" w:cstheme="minorHAnsi"/>
                                <w:color w:val="FFFFFF"/>
                              </w:rPr>
                              <w:instrText xml:space="preserve"> DOCPROPERTY  TenderStage \* MERGEFORMAT </w:instrText>
                            </w:r>
                            <w:r w:rsidRPr="009C415B">
                              <w:rPr>
                                <w:rFonts w:asciiTheme="minorHAnsi" w:hAnsiTheme="minorHAnsi" w:cstheme="minorHAnsi"/>
                                <w:color w:val="FFFFFF"/>
                              </w:rPr>
                              <w:fldChar w:fldCharType="end"/>
                            </w:r>
                          </w:p>
                          <w:p w14:paraId="712F688A" w14:textId="77777777" w:rsidR="007B40B2" w:rsidRPr="009C415B" w:rsidRDefault="007B40B2" w:rsidP="00BA5047">
                            <w:pPr>
                              <w:pStyle w:val="Coverfooter"/>
                              <w:rPr>
                                <w:color w:val="FFFFFF"/>
                              </w:rPr>
                            </w:pPr>
                          </w:p>
                          <w:p w14:paraId="6D4FA063" w14:textId="102E88B6" w:rsidR="007B40B2" w:rsidRDefault="007B40B2" w:rsidP="00CC5557">
                            <w:pPr>
                              <w:pStyle w:val="Subtitleheading"/>
                              <w:rPr>
                                <w:color w:val="FFFFFF"/>
                              </w:rPr>
                            </w:pPr>
                            <w:r>
                              <w:rPr>
                                <w:color w:val="FFFFFF"/>
                              </w:rPr>
                              <w:t>August 2022</w:t>
                            </w:r>
                          </w:p>
                          <w:p w14:paraId="22C8F74B" w14:textId="77777777" w:rsidR="007B40B2" w:rsidRDefault="007B40B2" w:rsidP="00CC5557">
                            <w:pPr>
                              <w:pStyle w:val="Subtitleheading"/>
                              <w:rPr>
                                <w:color w:val="FFFFFF"/>
                              </w:rPr>
                            </w:pPr>
                          </w:p>
                          <w:p w14:paraId="12C3BF5B" w14:textId="77777777" w:rsidR="007B40B2" w:rsidRDefault="007B40B2" w:rsidP="00CC5557">
                            <w:pPr>
                              <w:pStyle w:val="Subtitleheading"/>
                              <w:rPr>
                                <w:color w:val="FFFFFF"/>
                              </w:rPr>
                            </w:pPr>
                          </w:p>
                          <w:p w14:paraId="7A90C7FE" w14:textId="77777777" w:rsidR="007B40B2" w:rsidRPr="00F75021" w:rsidRDefault="007B40B2" w:rsidP="00CC5557">
                            <w:pPr>
                              <w:pStyle w:val="Heading"/>
                              <w:rPr>
                                <w:color w:val="FFFFFF" w:themeColor="background1"/>
                              </w:rPr>
                            </w:pPr>
                            <w:r w:rsidRPr="00F75021">
                              <w:rPr>
                                <w:color w:val="FFFFFF" w:themeColor="background1"/>
                              </w:rPr>
                              <w:t>Prepared for:</w:t>
                            </w:r>
                          </w:p>
                          <w:p w14:paraId="1F55557C" w14:textId="77777777" w:rsidR="007B40B2" w:rsidRDefault="007B40B2" w:rsidP="00CC5557">
                            <w:pPr>
                              <w:rPr>
                                <w:color w:val="FFFFFF" w:themeColor="background1"/>
                              </w:rPr>
                            </w:pPr>
                            <w:r w:rsidRPr="00F75021">
                              <w:rPr>
                                <w:color w:val="FFFFFF" w:themeColor="background1"/>
                              </w:rPr>
                              <w:t xml:space="preserve">Texas Water Development Board </w:t>
                            </w:r>
                          </w:p>
                          <w:p w14:paraId="27BD336A" w14:textId="77777777" w:rsidR="007B40B2" w:rsidRDefault="007B40B2" w:rsidP="00CC5557">
                            <w:pPr>
                              <w:rPr>
                                <w:color w:val="FFFFFF" w:themeColor="background1"/>
                              </w:rPr>
                            </w:pPr>
                            <w:r>
                              <w:rPr>
                                <w:color w:val="FFFFFF" w:themeColor="background1"/>
                              </w:rPr>
                              <w:t>Attn: Manuel Razo, GISP, CFM</w:t>
                            </w:r>
                          </w:p>
                          <w:p w14:paraId="206A3A48" w14:textId="77777777" w:rsidR="007B40B2" w:rsidRDefault="007B40B2" w:rsidP="00CC5557">
                            <w:pPr>
                              <w:rPr>
                                <w:color w:val="FFFFFF" w:themeColor="background1"/>
                              </w:rPr>
                            </w:pPr>
                            <w:r>
                              <w:rPr>
                                <w:color w:val="FFFFFF" w:themeColor="background1"/>
                              </w:rPr>
                              <w:t>1700 N. Congress Avenue</w:t>
                            </w:r>
                          </w:p>
                          <w:p w14:paraId="264AAEA7" w14:textId="77777777" w:rsidR="007B40B2" w:rsidRPr="00F75021" w:rsidRDefault="007B40B2" w:rsidP="00CC5557">
                            <w:pPr>
                              <w:rPr>
                                <w:color w:val="FFFFFF" w:themeColor="background1"/>
                              </w:rPr>
                            </w:pPr>
                            <w:r>
                              <w:rPr>
                                <w:color w:val="FFFFFF" w:themeColor="background1"/>
                              </w:rPr>
                              <w:t>Austin, Texas 78701</w:t>
                            </w:r>
                          </w:p>
                          <w:p w14:paraId="1A1B15FC" w14:textId="77777777" w:rsidR="007B40B2" w:rsidRDefault="007B40B2" w:rsidP="00CC5557">
                            <w:pPr>
                              <w:pStyle w:val="Subtitleheading"/>
                              <w:rPr>
                                <w:color w:val="FFFFFF"/>
                              </w:rPr>
                            </w:pPr>
                          </w:p>
                          <w:p w14:paraId="631339FA" w14:textId="77777777" w:rsidR="007B40B2" w:rsidRDefault="007B40B2" w:rsidP="00CC5557">
                            <w:pPr>
                              <w:pStyle w:val="Subtitleheading"/>
                              <w:rPr>
                                <w:color w:val="FFFFFF"/>
                              </w:rPr>
                            </w:pPr>
                          </w:p>
                          <w:p w14:paraId="42CA6D45" w14:textId="1C272BCE" w:rsidR="007B40B2" w:rsidRPr="0030437A" w:rsidRDefault="007B40B2" w:rsidP="00CC5557">
                            <w:pPr>
                              <w:pStyle w:val="Subtitleheading"/>
                              <w:rPr>
                                <w:color w:val="FFFFFF"/>
                              </w:rPr>
                            </w:pPr>
                            <w:r>
                              <w:rPr>
                                <w:color w:val="FFFFFF"/>
                              </w:rPr>
                              <w:t xml:space="preserve">Prepared By: </w:t>
                            </w:r>
                          </w:p>
                        </w:tc>
                      </w:tr>
                    </w:tbl>
                    <w:bookmarkEnd w:id="11"/>
                    <w:bookmarkEnd w:id="12"/>
                    <w:p w14:paraId="26BA99DD" w14:textId="77777777" w:rsidR="007B40B2" w:rsidRPr="00CC5557" w:rsidRDefault="007B40B2" w:rsidP="00CC5557">
                      <w:pPr>
                        <w:rPr>
                          <w:color w:val="FFFFFF" w:themeColor="background1"/>
                        </w:rPr>
                      </w:pPr>
                      <w:r w:rsidRPr="00CC5557">
                        <w:rPr>
                          <w:color w:val="FFFFFF" w:themeColor="background1"/>
                        </w:rPr>
                        <w:t xml:space="preserve">‌AECOM Technical Services </w:t>
                      </w:r>
                    </w:p>
                    <w:p w14:paraId="5FAD699B" w14:textId="77777777" w:rsidR="007B40B2" w:rsidRPr="00CC5557" w:rsidRDefault="007B40B2" w:rsidP="00CC5557">
                      <w:pPr>
                        <w:rPr>
                          <w:color w:val="FFFFFF" w:themeColor="background1"/>
                        </w:rPr>
                      </w:pPr>
                      <w:r w:rsidRPr="00CC5557">
                        <w:rPr>
                          <w:color w:val="FFFFFF" w:themeColor="background1"/>
                        </w:rPr>
                        <w:t>13640 Briarwick Drive, Suite 200</w:t>
                      </w:r>
                    </w:p>
                    <w:p w14:paraId="1AB9539A" w14:textId="77777777" w:rsidR="007B40B2" w:rsidRPr="00CC5557" w:rsidRDefault="007B40B2" w:rsidP="00CC5557">
                      <w:pPr>
                        <w:rPr>
                          <w:color w:val="FFFFFF" w:themeColor="background1"/>
                        </w:rPr>
                      </w:pPr>
                      <w:r w:rsidRPr="00CC5557">
                        <w:rPr>
                          <w:color w:val="FFFFFF" w:themeColor="background1"/>
                        </w:rPr>
                        <w:t>Austin, TX 78729</w:t>
                      </w:r>
                    </w:p>
                    <w:p w14:paraId="52C8EAD3" w14:textId="77777777" w:rsidR="007B40B2" w:rsidRPr="00CC5557" w:rsidRDefault="007B40B2" w:rsidP="00CC5557">
                      <w:pPr>
                        <w:rPr>
                          <w:color w:val="FFFFFF" w:themeColor="background1"/>
                        </w:rPr>
                      </w:pPr>
                      <w:r w:rsidRPr="00CC5557">
                        <w:rPr>
                          <w:color w:val="FFFFFF" w:themeColor="background1"/>
                        </w:rPr>
                        <w:t>aecom.com</w:t>
                      </w:r>
                    </w:p>
                    <w:p w14:paraId="1910A75F" w14:textId="77777777" w:rsidR="007B40B2" w:rsidRDefault="007B40B2" w:rsidP="00213392"/>
                  </w:txbxContent>
                </v:textbox>
                <w10:wrap anchorx="margin" anchory="page"/>
              </v:shape>
            </w:pict>
          </mc:Fallback>
        </mc:AlternateContent>
      </w:r>
    </w:p>
    <w:p w14:paraId="6A9243CD" w14:textId="77777777" w:rsidR="00F12DD7" w:rsidRDefault="00F12DD7" w:rsidP="00F12DD7">
      <w:pPr>
        <w:pStyle w:val="BodyText"/>
        <w:sectPr w:rsidR="00F12DD7" w:rsidSect="0030437A">
          <w:pgSz w:w="12240" w:h="15840" w:code="9"/>
          <w:pgMar w:top="1134" w:right="1440" w:bottom="851" w:left="1440" w:header="709" w:footer="284" w:gutter="0"/>
          <w:cols w:space="708"/>
          <w:docGrid w:linePitch="360"/>
        </w:sectPr>
      </w:pPr>
    </w:p>
    <w:p w14:paraId="083FEFD6" w14:textId="77777777" w:rsidR="00067457" w:rsidRDefault="00067457" w:rsidP="00067457"/>
    <w:p w14:paraId="7C05A1F9" w14:textId="7F23D8D2" w:rsidR="00901BD9" w:rsidRDefault="00901BD9" w:rsidP="00901BD9">
      <w:pPr>
        <w:pStyle w:val="Heading"/>
      </w:pPr>
      <w:bookmarkStart w:id="13" w:name="Text_RevisionHistory"/>
      <w:r>
        <w:t>Document History</w:t>
      </w:r>
    </w:p>
    <w:p w14:paraId="43133EAD" w14:textId="77777777" w:rsidR="002C4272" w:rsidRDefault="002C4272" w:rsidP="002C4272">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p>
    <w:p w14:paraId="4184C4E9" w14:textId="393BB81F" w:rsidR="00901BD9" w:rsidRPr="002C4272" w:rsidRDefault="00901BD9" w:rsidP="002C4272">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r w:rsidRPr="002C4272">
        <w:rPr>
          <w:rFonts w:asciiTheme="majorHAnsi" w:eastAsia="Times New Roman" w:hAnsiTheme="majorHAnsi" w:cs="Times New Roman"/>
          <w:b/>
          <w:caps/>
          <w:color w:val="F68B1F" w:themeColor="accent3"/>
          <w:kern w:val="0"/>
          <w:sz w:val="22"/>
          <w:szCs w:val="24"/>
        </w:rPr>
        <w:t xml:space="preserve">Document Location </w:t>
      </w:r>
    </w:p>
    <w:p w14:paraId="78C8918D" w14:textId="7D707C21" w:rsidR="00901BD9" w:rsidRPr="00A631AE" w:rsidRDefault="00901BD9" w:rsidP="00901BD9">
      <w:pPr>
        <w:pStyle w:val="BodyText"/>
      </w:pPr>
      <w:r w:rsidRPr="00A631AE">
        <w:t>K</w:t>
      </w:r>
      <w:r w:rsidR="00F64079" w:rsidRPr="00A631AE">
        <w:t>:/</w:t>
      </w:r>
      <w:r w:rsidR="00405173" w:rsidRPr="00A631AE">
        <w:t xml:space="preserve">FY2021/21-06-0030S/Hydraulics - BLE|FY20|MAS 27|Cowhouse (12070202) - Coryell, TX 19/Hydraulic Data Capture - Hydraulic - BLE|FY20|MAS 27|Cowhouse (12070202) - Coryell, TX - </w:t>
      </w:r>
      <w:r w:rsidR="00D51893" w:rsidRPr="00A631AE">
        <w:t>01</w:t>
      </w:r>
    </w:p>
    <w:p w14:paraId="0DC78410" w14:textId="39C07153" w:rsidR="00901BD9" w:rsidRPr="00901BD9" w:rsidRDefault="00901BD9" w:rsidP="007A173C">
      <w:pPr>
        <w:tabs>
          <w:tab w:val="clear" w:pos="284"/>
          <w:tab w:val="left" w:pos="3815"/>
        </w:tabs>
        <w:spacing w:before="200" w:after="200" w:line="240" w:lineRule="auto"/>
        <w:rPr>
          <w:rFonts w:asciiTheme="majorHAnsi" w:eastAsia="Times New Roman" w:hAnsiTheme="majorHAnsi" w:cs="Times New Roman"/>
          <w:b/>
          <w:caps/>
          <w:color w:val="F68B1F" w:themeColor="accent3"/>
          <w:kern w:val="0"/>
          <w:sz w:val="22"/>
          <w:szCs w:val="24"/>
        </w:rPr>
      </w:pPr>
      <w:r w:rsidRPr="00901BD9">
        <w:rPr>
          <w:rFonts w:asciiTheme="majorHAnsi" w:eastAsia="Times New Roman" w:hAnsiTheme="majorHAnsi" w:cs="Times New Roman"/>
          <w:b/>
          <w:caps/>
          <w:color w:val="F68B1F" w:themeColor="accent3"/>
          <w:kern w:val="0"/>
          <w:sz w:val="22"/>
          <w:szCs w:val="24"/>
        </w:rPr>
        <w:t>Revision History</w:t>
      </w:r>
      <w:r w:rsidR="007A173C">
        <w:rPr>
          <w:rFonts w:asciiTheme="majorHAnsi" w:eastAsia="Times New Roman" w:hAnsiTheme="majorHAnsi" w:cs="Times New Roman"/>
          <w:b/>
          <w:caps/>
          <w:color w:val="F68B1F" w:themeColor="accent3"/>
          <w:kern w:val="0"/>
          <w:sz w:val="22"/>
          <w:szCs w:val="24"/>
        </w:rPr>
        <w:tab/>
      </w:r>
    </w:p>
    <w:tbl>
      <w:tblPr>
        <w:tblW w:w="9558" w:type="dxa"/>
        <w:tblBorders>
          <w:top w:val="single" w:sz="4" w:space="0" w:color="00B5E2" w:themeColor="accent1"/>
          <w:left w:val="single" w:sz="4" w:space="0" w:color="00B5E2" w:themeColor="accent1"/>
          <w:bottom w:val="single" w:sz="4" w:space="0" w:color="00B5E2" w:themeColor="accent1"/>
          <w:right w:val="single" w:sz="4" w:space="0" w:color="00B5E2" w:themeColor="accent1"/>
          <w:insideH w:val="single" w:sz="4" w:space="0" w:color="00B5E2" w:themeColor="accent1"/>
          <w:insideV w:val="single" w:sz="4" w:space="0" w:color="00B5E2" w:themeColor="accent1"/>
        </w:tblBorders>
        <w:tblLayout w:type="fixed"/>
        <w:tblLook w:val="04A0" w:firstRow="1" w:lastRow="0" w:firstColumn="1" w:lastColumn="0" w:noHBand="0" w:noVBand="1"/>
      </w:tblPr>
      <w:tblGrid>
        <w:gridCol w:w="1728"/>
        <w:gridCol w:w="1710"/>
        <w:gridCol w:w="3960"/>
        <w:gridCol w:w="2160"/>
      </w:tblGrid>
      <w:tr w:rsidR="00901BD9" w:rsidRPr="00901BD9" w14:paraId="09C9F21B" w14:textId="77777777" w:rsidTr="00906DB8">
        <w:trPr>
          <w:trHeight w:val="349"/>
        </w:trPr>
        <w:tc>
          <w:tcPr>
            <w:tcW w:w="172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3A220BDE"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Version Number</w:t>
            </w:r>
          </w:p>
        </w:tc>
        <w:tc>
          <w:tcPr>
            <w:tcW w:w="171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472E0403"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Version Date</w:t>
            </w:r>
          </w:p>
        </w:tc>
        <w:tc>
          <w:tcPr>
            <w:tcW w:w="39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4B5CC20D"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Summary Changes</w:t>
            </w:r>
          </w:p>
        </w:tc>
        <w:tc>
          <w:tcPr>
            <w:tcW w:w="21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408D5A31"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Team/Author</w:t>
            </w:r>
          </w:p>
        </w:tc>
      </w:tr>
      <w:tr w:rsidR="00901BD9" w:rsidRPr="00901BD9" w14:paraId="230094C7" w14:textId="77777777" w:rsidTr="00906DB8">
        <w:trPr>
          <w:trHeight w:val="349"/>
        </w:trPr>
        <w:tc>
          <w:tcPr>
            <w:tcW w:w="172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2359A34B" w14:textId="77777777" w:rsidR="00901BD9" w:rsidRPr="00EF4C85" w:rsidRDefault="00901BD9" w:rsidP="00901BD9">
            <w:pPr>
              <w:tabs>
                <w:tab w:val="clear" w:pos="284"/>
              </w:tabs>
              <w:spacing w:before="20" w:after="20" w:line="240" w:lineRule="auto"/>
              <w:jc w:val="center"/>
              <w:rPr>
                <w:rFonts w:eastAsia="Times New Roman" w:cs="Times New Roman"/>
                <w:kern w:val="0"/>
                <w:sz w:val="20"/>
                <w:szCs w:val="24"/>
              </w:rPr>
            </w:pPr>
            <w:r w:rsidRPr="00EF4C85">
              <w:rPr>
                <w:rFonts w:eastAsia="Times New Roman" w:cs="Times New Roman"/>
                <w:kern w:val="0"/>
                <w:sz w:val="20"/>
                <w:szCs w:val="24"/>
              </w:rPr>
              <w:t>1.0</w:t>
            </w:r>
          </w:p>
        </w:tc>
        <w:tc>
          <w:tcPr>
            <w:tcW w:w="171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40DA318A" w14:textId="21982719" w:rsidR="00901BD9" w:rsidRPr="00EF4C85" w:rsidRDefault="0055056D" w:rsidP="008427C4">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July</w:t>
            </w:r>
            <w:r w:rsidR="00405173">
              <w:rPr>
                <w:rFonts w:eastAsia="Times New Roman" w:cs="Times New Roman"/>
                <w:kern w:val="0"/>
                <w:sz w:val="20"/>
                <w:szCs w:val="24"/>
              </w:rPr>
              <w:t xml:space="preserve"> </w:t>
            </w:r>
            <w:r w:rsidR="004946F1">
              <w:rPr>
                <w:rFonts w:eastAsia="Times New Roman" w:cs="Times New Roman"/>
                <w:kern w:val="0"/>
                <w:sz w:val="20"/>
                <w:szCs w:val="24"/>
              </w:rPr>
              <w:t>2022</w:t>
            </w:r>
          </w:p>
        </w:tc>
        <w:tc>
          <w:tcPr>
            <w:tcW w:w="39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0DAB44F1" w14:textId="665E4B62" w:rsidR="00901BD9" w:rsidRPr="00EF4C85" w:rsidRDefault="00AD60E2" w:rsidP="00EF4C85">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 xml:space="preserve">Draft </w:t>
            </w:r>
            <w:r w:rsidR="00901BD9" w:rsidRPr="00EF4C85">
              <w:rPr>
                <w:rFonts w:eastAsia="Times New Roman" w:cs="Times New Roman"/>
                <w:kern w:val="0"/>
                <w:sz w:val="20"/>
                <w:szCs w:val="24"/>
              </w:rPr>
              <w:t>Deliverable to TWDB</w:t>
            </w:r>
            <w:r w:rsidR="00EF4C85" w:rsidRPr="00EF4C85">
              <w:rPr>
                <w:rFonts w:eastAsia="Times New Roman" w:cs="Times New Roman"/>
                <w:kern w:val="0"/>
                <w:sz w:val="20"/>
                <w:szCs w:val="24"/>
              </w:rPr>
              <w:t xml:space="preserve"> </w:t>
            </w:r>
          </w:p>
        </w:tc>
        <w:tc>
          <w:tcPr>
            <w:tcW w:w="21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7E8081CD" w14:textId="2C3F78B0" w:rsidR="00901BD9" w:rsidRPr="00EF4C85" w:rsidRDefault="00901BD9" w:rsidP="00901BD9">
            <w:pPr>
              <w:tabs>
                <w:tab w:val="clear" w:pos="284"/>
              </w:tabs>
              <w:spacing w:before="20" w:after="20" w:line="240" w:lineRule="auto"/>
              <w:jc w:val="center"/>
              <w:rPr>
                <w:rFonts w:eastAsia="Times New Roman" w:cs="Times New Roman"/>
                <w:kern w:val="0"/>
                <w:sz w:val="20"/>
                <w:szCs w:val="24"/>
              </w:rPr>
            </w:pPr>
            <w:r w:rsidRPr="00EF4C85">
              <w:rPr>
                <w:rFonts w:eastAsia="Times New Roman" w:cs="Times New Roman"/>
                <w:kern w:val="0"/>
                <w:sz w:val="20"/>
                <w:szCs w:val="24"/>
              </w:rPr>
              <w:t>AECOM</w:t>
            </w:r>
          </w:p>
        </w:tc>
      </w:tr>
      <w:tr w:rsidR="00EF45BA" w:rsidRPr="00901BD9" w14:paraId="7D7C54C5" w14:textId="77777777" w:rsidTr="00906DB8">
        <w:trPr>
          <w:trHeight w:val="349"/>
        </w:trPr>
        <w:tc>
          <w:tcPr>
            <w:tcW w:w="172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7FB26712" w14:textId="643F7047" w:rsidR="00EF45BA" w:rsidRPr="00EF4C85" w:rsidRDefault="00AD60E2"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2.0</w:t>
            </w:r>
          </w:p>
        </w:tc>
        <w:tc>
          <w:tcPr>
            <w:tcW w:w="171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7A2907C9" w14:textId="70C33C8A" w:rsidR="00EF45BA" w:rsidRDefault="00AD60E2" w:rsidP="008427C4">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August 2022</w:t>
            </w:r>
          </w:p>
        </w:tc>
        <w:tc>
          <w:tcPr>
            <w:tcW w:w="39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131C9997" w14:textId="0CF677CA" w:rsidR="00EF45BA" w:rsidRPr="00EF4C85" w:rsidRDefault="00AD60E2" w:rsidP="00EF4C85">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Final Deliverable to TWDB</w:t>
            </w:r>
          </w:p>
        </w:tc>
        <w:tc>
          <w:tcPr>
            <w:tcW w:w="21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4B3CFB2A" w14:textId="4A7EE7FC" w:rsidR="00EF45BA" w:rsidRPr="00EF4C85" w:rsidRDefault="00AD60E2"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AECOM</w:t>
            </w:r>
          </w:p>
        </w:tc>
      </w:tr>
    </w:tbl>
    <w:p w14:paraId="1769CE8F" w14:textId="77777777" w:rsidR="008C01E1" w:rsidRDefault="008C01E1" w:rsidP="004946F1">
      <w:pPr>
        <w:tabs>
          <w:tab w:val="clear" w:pos="284"/>
          <w:tab w:val="left" w:pos="5814"/>
        </w:tabs>
        <w:spacing w:before="200" w:after="200" w:line="240" w:lineRule="auto"/>
        <w:rPr>
          <w:rFonts w:asciiTheme="majorHAnsi" w:eastAsia="Times New Roman" w:hAnsiTheme="majorHAnsi" w:cs="Times New Roman"/>
          <w:b/>
          <w:caps/>
          <w:color w:val="F68B1F" w:themeColor="accent3"/>
          <w:kern w:val="0"/>
          <w:sz w:val="22"/>
          <w:szCs w:val="24"/>
        </w:rPr>
      </w:pPr>
    </w:p>
    <w:p w14:paraId="32CC7732" w14:textId="5BD50293" w:rsidR="00901BD9" w:rsidRPr="00901BD9" w:rsidRDefault="00901BD9" w:rsidP="004946F1">
      <w:pPr>
        <w:tabs>
          <w:tab w:val="clear" w:pos="284"/>
          <w:tab w:val="left" w:pos="5814"/>
        </w:tabs>
        <w:spacing w:before="200" w:after="200" w:line="240" w:lineRule="auto"/>
        <w:rPr>
          <w:rFonts w:asciiTheme="majorHAnsi" w:eastAsia="Times New Roman" w:hAnsiTheme="majorHAnsi" w:cs="Times New Roman"/>
          <w:b/>
          <w:caps/>
          <w:color w:val="F68B1F" w:themeColor="accent3"/>
          <w:kern w:val="0"/>
          <w:sz w:val="22"/>
          <w:szCs w:val="24"/>
        </w:rPr>
      </w:pPr>
      <w:r w:rsidRPr="00901BD9">
        <w:rPr>
          <w:rFonts w:asciiTheme="majorHAnsi" w:eastAsia="Times New Roman" w:hAnsiTheme="majorHAnsi" w:cs="Times New Roman"/>
          <w:b/>
          <w:caps/>
          <w:color w:val="F68B1F" w:themeColor="accent3"/>
          <w:kern w:val="0"/>
          <w:sz w:val="22"/>
          <w:szCs w:val="24"/>
        </w:rPr>
        <w:t>Approvals</w:t>
      </w:r>
      <w:r w:rsidR="004946F1">
        <w:rPr>
          <w:rFonts w:asciiTheme="majorHAnsi" w:eastAsia="Times New Roman" w:hAnsiTheme="majorHAnsi" w:cs="Times New Roman"/>
          <w:b/>
          <w:caps/>
          <w:color w:val="F68B1F" w:themeColor="accent3"/>
          <w:kern w:val="0"/>
          <w:sz w:val="22"/>
          <w:szCs w:val="24"/>
        </w:rPr>
        <w:tab/>
      </w:r>
    </w:p>
    <w:p w14:paraId="69057CAC" w14:textId="77777777" w:rsidR="00901BD9" w:rsidRPr="00901BD9" w:rsidRDefault="00901BD9" w:rsidP="00901BD9">
      <w:pPr>
        <w:tabs>
          <w:tab w:val="clear" w:pos="284"/>
        </w:tabs>
        <w:spacing w:before="120" w:after="120" w:line="240" w:lineRule="auto"/>
        <w:rPr>
          <w:rFonts w:eastAsia="Times New Roman" w:cs="Times New Roman"/>
          <w:kern w:val="0"/>
          <w:sz w:val="22"/>
          <w:szCs w:val="26"/>
        </w:rPr>
      </w:pPr>
      <w:r w:rsidRPr="00901BD9">
        <w:rPr>
          <w:rFonts w:eastAsia="Times New Roman" w:cs="Times New Roman"/>
          <w:kern w:val="0"/>
          <w:sz w:val="22"/>
          <w:szCs w:val="26"/>
        </w:rPr>
        <w:t>This document requires the approval of the following persons:</w:t>
      </w:r>
    </w:p>
    <w:tbl>
      <w:tblPr>
        <w:tblW w:w="9522" w:type="dxa"/>
        <w:tblBorders>
          <w:top w:val="single" w:sz="4" w:space="0" w:color="00B5E2" w:themeColor="accent1"/>
          <w:left w:val="single" w:sz="4" w:space="0" w:color="00B5E2" w:themeColor="accent1"/>
          <w:bottom w:val="single" w:sz="4" w:space="0" w:color="00B5E2" w:themeColor="accent1"/>
          <w:right w:val="single" w:sz="4" w:space="0" w:color="00B5E2" w:themeColor="accent1"/>
          <w:insideH w:val="single" w:sz="4" w:space="0" w:color="00B5E2" w:themeColor="accent1"/>
          <w:insideV w:val="single" w:sz="4" w:space="0" w:color="00B5E2" w:themeColor="accent1"/>
        </w:tblBorders>
        <w:tblLayout w:type="fixed"/>
        <w:tblCellMar>
          <w:left w:w="72" w:type="dxa"/>
          <w:right w:w="72" w:type="dxa"/>
        </w:tblCellMar>
        <w:tblLook w:val="04A0" w:firstRow="1" w:lastRow="0" w:firstColumn="1" w:lastColumn="0" w:noHBand="0" w:noVBand="1"/>
      </w:tblPr>
      <w:tblGrid>
        <w:gridCol w:w="1578"/>
        <w:gridCol w:w="1578"/>
        <w:gridCol w:w="1416"/>
        <w:gridCol w:w="1656"/>
        <w:gridCol w:w="1662"/>
        <w:gridCol w:w="1632"/>
      </w:tblGrid>
      <w:tr w:rsidR="00901BD9" w:rsidRPr="00901BD9" w14:paraId="79034066" w14:textId="77777777" w:rsidTr="00901BD9">
        <w:trPr>
          <w:trHeight w:val="431"/>
        </w:trPr>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128CC594"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Role</w:t>
            </w:r>
          </w:p>
        </w:tc>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3D84723E"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Name</w:t>
            </w:r>
          </w:p>
        </w:tc>
        <w:tc>
          <w:tcPr>
            <w:tcW w:w="141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1D1F8633"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 xml:space="preserve">Phone </w:t>
            </w:r>
          </w:p>
        </w:tc>
        <w:tc>
          <w:tcPr>
            <w:tcW w:w="165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5D6C058D"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Title (CLIN/RMC)</w:t>
            </w:r>
          </w:p>
        </w:tc>
        <w:tc>
          <w:tcPr>
            <w:tcW w:w="166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141DE6D0"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Review Date</w:t>
            </w:r>
          </w:p>
        </w:tc>
        <w:tc>
          <w:tcPr>
            <w:tcW w:w="163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5A2C8550"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Approved Date</w:t>
            </w:r>
          </w:p>
        </w:tc>
      </w:tr>
      <w:tr w:rsidR="00901BD9" w:rsidRPr="00901BD9" w14:paraId="5C6EE131" w14:textId="77777777" w:rsidTr="00901BD9">
        <w:trPr>
          <w:trHeight w:val="349"/>
        </w:trPr>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0CCA904E" w14:textId="77777777" w:rsidR="00901BD9" w:rsidRPr="00901BD9" w:rsidRDefault="00901BD9" w:rsidP="00901BD9">
            <w:pPr>
              <w:tabs>
                <w:tab w:val="clear" w:pos="284"/>
              </w:tabs>
              <w:spacing w:before="20" w:after="20" w:line="240" w:lineRule="auto"/>
              <w:jc w:val="center"/>
              <w:rPr>
                <w:rFonts w:eastAsia="Times New Roman" w:cs="Times New Roman"/>
                <w:kern w:val="0"/>
                <w:sz w:val="20"/>
                <w:szCs w:val="24"/>
                <w:highlight w:val="yellow"/>
              </w:rPr>
            </w:pPr>
            <w:r w:rsidRPr="00901BD9">
              <w:rPr>
                <w:rFonts w:eastAsia="Times New Roman" w:cs="Times New Roman"/>
                <w:kern w:val="0"/>
                <w:sz w:val="20"/>
                <w:szCs w:val="24"/>
              </w:rPr>
              <w:t>Project Manager</w:t>
            </w:r>
          </w:p>
        </w:tc>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520EAE91" w14:textId="33442337"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Sean Sutton</w:t>
            </w:r>
          </w:p>
        </w:tc>
        <w:tc>
          <w:tcPr>
            <w:tcW w:w="141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184BCD4A" w14:textId="57AEEB06"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512.457.7745</w:t>
            </w:r>
          </w:p>
        </w:tc>
        <w:tc>
          <w:tcPr>
            <w:tcW w:w="165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2F0F56D7" w14:textId="77777777"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sidRPr="00901BD9">
              <w:rPr>
                <w:rFonts w:eastAsia="Times New Roman" w:cs="Times New Roman"/>
                <w:kern w:val="0"/>
                <w:sz w:val="20"/>
                <w:szCs w:val="24"/>
              </w:rPr>
              <w:t>Project Manager</w:t>
            </w:r>
          </w:p>
        </w:tc>
        <w:tc>
          <w:tcPr>
            <w:tcW w:w="166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7A835077" w14:textId="323D469C" w:rsidR="00901BD9" w:rsidRPr="008C01E1" w:rsidRDefault="0055056D" w:rsidP="00EF4C85">
            <w:pPr>
              <w:tabs>
                <w:tab w:val="clear" w:pos="284"/>
              </w:tabs>
              <w:spacing w:before="20" w:after="20" w:line="240" w:lineRule="auto"/>
              <w:jc w:val="center"/>
              <w:rPr>
                <w:rFonts w:eastAsia="Times New Roman" w:cs="Times New Roman"/>
                <w:kern w:val="0"/>
                <w:sz w:val="20"/>
                <w:szCs w:val="24"/>
              </w:rPr>
            </w:pPr>
            <w:r w:rsidRPr="00A631AE">
              <w:rPr>
                <w:rFonts w:eastAsia="Times New Roman" w:cs="Times New Roman"/>
                <w:kern w:val="0"/>
                <w:sz w:val="20"/>
                <w:szCs w:val="24"/>
              </w:rPr>
              <w:t>July 8</w:t>
            </w:r>
            <w:r w:rsidR="00C96A91" w:rsidRPr="00A631AE">
              <w:rPr>
                <w:rFonts w:eastAsia="Times New Roman" w:cs="Times New Roman"/>
                <w:kern w:val="0"/>
                <w:sz w:val="20"/>
                <w:szCs w:val="24"/>
              </w:rPr>
              <w:t>, 2022</w:t>
            </w:r>
          </w:p>
        </w:tc>
        <w:tc>
          <w:tcPr>
            <w:tcW w:w="163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1AB2E7AF" w14:textId="08767E92" w:rsidR="00901BD9" w:rsidRPr="008C01E1" w:rsidRDefault="00AD60E2" w:rsidP="007824FF">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August 24</w:t>
            </w:r>
            <w:r w:rsidR="00A631AE">
              <w:rPr>
                <w:rFonts w:eastAsia="Times New Roman" w:cs="Times New Roman"/>
                <w:kern w:val="0"/>
                <w:sz w:val="20"/>
                <w:szCs w:val="24"/>
              </w:rPr>
              <w:t>, 2022</w:t>
            </w:r>
          </w:p>
        </w:tc>
      </w:tr>
    </w:tbl>
    <w:p w14:paraId="268A67ED" w14:textId="77777777" w:rsidR="008C01E1" w:rsidRDefault="008C01E1" w:rsidP="00901BD9">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p>
    <w:p w14:paraId="65227023" w14:textId="77777777" w:rsidR="00901BD9" w:rsidRPr="00901BD9" w:rsidRDefault="00901BD9" w:rsidP="00901BD9">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r w:rsidRPr="00901BD9">
        <w:rPr>
          <w:rFonts w:asciiTheme="majorHAnsi" w:eastAsia="Times New Roman" w:hAnsiTheme="majorHAnsi" w:cs="Times New Roman"/>
          <w:b/>
          <w:caps/>
          <w:color w:val="F68B1F" w:themeColor="accent3"/>
          <w:kern w:val="0"/>
          <w:sz w:val="22"/>
          <w:szCs w:val="24"/>
        </w:rPr>
        <w:t>Client distribution</w:t>
      </w:r>
    </w:p>
    <w:tbl>
      <w:tblPr>
        <w:tblW w:w="9558" w:type="dxa"/>
        <w:tblBorders>
          <w:top w:val="single" w:sz="4" w:space="0" w:color="00B5E2" w:themeColor="accent1"/>
          <w:left w:val="single" w:sz="4" w:space="0" w:color="00B5E2" w:themeColor="accent1"/>
          <w:bottom w:val="single" w:sz="4" w:space="0" w:color="00B5E2" w:themeColor="accent1"/>
          <w:right w:val="single" w:sz="4" w:space="0" w:color="00B5E2" w:themeColor="accent1"/>
          <w:insideH w:val="single" w:sz="4" w:space="0" w:color="00B5E2" w:themeColor="accent1"/>
          <w:insideV w:val="single" w:sz="4" w:space="0" w:color="00B5E2" w:themeColor="accent1"/>
        </w:tblBorders>
        <w:tblLayout w:type="fixed"/>
        <w:tblLook w:val="04A0" w:firstRow="1" w:lastRow="0" w:firstColumn="1" w:lastColumn="0" w:noHBand="0" w:noVBand="1"/>
      </w:tblPr>
      <w:tblGrid>
        <w:gridCol w:w="2448"/>
        <w:gridCol w:w="4680"/>
        <w:gridCol w:w="2430"/>
      </w:tblGrid>
      <w:tr w:rsidR="00901BD9" w:rsidRPr="00901BD9" w14:paraId="5B079669" w14:textId="77777777" w:rsidTr="00906DB8">
        <w:trPr>
          <w:trHeight w:val="349"/>
        </w:trPr>
        <w:tc>
          <w:tcPr>
            <w:tcW w:w="244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7534D464"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Name</w:t>
            </w:r>
          </w:p>
        </w:tc>
        <w:tc>
          <w:tcPr>
            <w:tcW w:w="468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06C4ECD4"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Title/Organization</w:t>
            </w:r>
          </w:p>
        </w:tc>
        <w:tc>
          <w:tcPr>
            <w:tcW w:w="243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4BBE3517"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Location</w:t>
            </w:r>
          </w:p>
        </w:tc>
      </w:tr>
      <w:tr w:rsidR="00901BD9" w:rsidRPr="00901BD9" w14:paraId="19D52CE8" w14:textId="77777777" w:rsidTr="00906DB8">
        <w:trPr>
          <w:trHeight w:val="349"/>
        </w:trPr>
        <w:tc>
          <w:tcPr>
            <w:tcW w:w="244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4D2218EE" w14:textId="471E6E1A"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Manuel Razo</w:t>
            </w:r>
          </w:p>
        </w:tc>
        <w:tc>
          <w:tcPr>
            <w:tcW w:w="468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302333AF" w14:textId="424929FE"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Contract Manager, TWDB</w:t>
            </w:r>
          </w:p>
        </w:tc>
        <w:tc>
          <w:tcPr>
            <w:tcW w:w="243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51829684" w14:textId="14F6CF26" w:rsidR="00901BD9" w:rsidRPr="00901BD9" w:rsidRDefault="002A75EF"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Austin, Texas</w:t>
            </w:r>
          </w:p>
        </w:tc>
      </w:tr>
      <w:bookmarkEnd w:id="13"/>
    </w:tbl>
    <w:p w14:paraId="523F098B" w14:textId="24FA0E46" w:rsidR="00067457" w:rsidRDefault="00067457">
      <w:pPr>
        <w:tabs>
          <w:tab w:val="clear" w:pos="284"/>
        </w:tabs>
        <w:spacing w:line="240" w:lineRule="auto"/>
      </w:pPr>
      <w:r>
        <w:br w:type="page"/>
      </w:r>
    </w:p>
    <w:p w14:paraId="04058CB9" w14:textId="77777777" w:rsidR="003964F2" w:rsidRDefault="003964F2" w:rsidP="00CA2219">
      <w:pPr>
        <w:pStyle w:val="TOCHeading"/>
        <w:rPr>
          <w:noProof/>
        </w:rPr>
      </w:pPr>
      <w:r>
        <w:rPr>
          <w:noProof/>
        </w:rPr>
        <w:lastRenderedPageBreak/>
        <w:t>Table of Contents</w:t>
      </w:r>
    </w:p>
    <w:p w14:paraId="650E1170" w14:textId="77777777" w:rsidR="007E1F1A" w:rsidRDefault="00265A9E">
      <w:pPr>
        <w:pStyle w:val="TOC1"/>
        <w:tabs>
          <w:tab w:val="left" w:pos="540"/>
          <w:tab w:val="right" w:leader="dot" w:pos="9350"/>
        </w:tabs>
        <w:rPr>
          <w:rFonts w:eastAsiaTheme="minorEastAsia" w:cstheme="minorBidi"/>
          <w:b w:val="0"/>
          <w:bCs w:val="0"/>
          <w:noProof/>
          <w:kern w:val="0"/>
          <w:sz w:val="22"/>
          <w:szCs w:val="22"/>
        </w:rPr>
      </w:pPr>
      <w:r>
        <w:rPr>
          <w:noProof/>
        </w:rPr>
        <w:fldChar w:fldCharType="begin"/>
      </w:r>
      <w:r>
        <w:rPr>
          <w:noProof/>
        </w:rPr>
        <w:instrText xml:space="preserve"> TOC \o "1-4" \u </w:instrText>
      </w:r>
      <w:r>
        <w:rPr>
          <w:noProof/>
        </w:rPr>
        <w:fldChar w:fldCharType="separate"/>
      </w:r>
      <w:r w:rsidR="007E1F1A">
        <w:rPr>
          <w:noProof/>
        </w:rPr>
        <w:t>1.</w:t>
      </w:r>
      <w:r w:rsidR="007E1F1A">
        <w:rPr>
          <w:rFonts w:eastAsiaTheme="minorEastAsia" w:cstheme="minorBidi"/>
          <w:b w:val="0"/>
          <w:bCs w:val="0"/>
          <w:noProof/>
          <w:kern w:val="0"/>
          <w:sz w:val="22"/>
          <w:szCs w:val="22"/>
        </w:rPr>
        <w:tab/>
      </w:r>
      <w:r w:rsidR="007E1F1A">
        <w:rPr>
          <w:noProof/>
        </w:rPr>
        <w:t>Introduction</w:t>
      </w:r>
      <w:r w:rsidR="007E1F1A">
        <w:rPr>
          <w:noProof/>
        </w:rPr>
        <w:tab/>
      </w:r>
      <w:r w:rsidR="007E1F1A">
        <w:rPr>
          <w:noProof/>
        </w:rPr>
        <w:fldChar w:fldCharType="begin"/>
      </w:r>
      <w:r w:rsidR="007E1F1A">
        <w:rPr>
          <w:noProof/>
        </w:rPr>
        <w:instrText xml:space="preserve"> PAGEREF _Toc112244115 \h </w:instrText>
      </w:r>
      <w:r w:rsidR="007E1F1A">
        <w:rPr>
          <w:noProof/>
        </w:rPr>
      </w:r>
      <w:r w:rsidR="007E1F1A">
        <w:rPr>
          <w:noProof/>
        </w:rPr>
        <w:fldChar w:fldCharType="separate"/>
      </w:r>
      <w:r w:rsidR="007D7CA7">
        <w:rPr>
          <w:noProof/>
        </w:rPr>
        <w:t>1</w:t>
      </w:r>
      <w:r w:rsidR="007E1F1A">
        <w:rPr>
          <w:noProof/>
        </w:rPr>
        <w:fldChar w:fldCharType="end"/>
      </w:r>
    </w:p>
    <w:p w14:paraId="67BFED1F" w14:textId="77777777" w:rsidR="007E1F1A" w:rsidRDefault="007E1F1A">
      <w:pPr>
        <w:pStyle w:val="TOC1"/>
        <w:tabs>
          <w:tab w:val="left" w:pos="540"/>
          <w:tab w:val="right" w:leader="dot" w:pos="9350"/>
        </w:tabs>
        <w:rPr>
          <w:rFonts w:eastAsiaTheme="minorEastAsia" w:cstheme="minorBidi"/>
          <w:b w:val="0"/>
          <w:bCs w:val="0"/>
          <w:noProof/>
          <w:kern w:val="0"/>
          <w:sz w:val="22"/>
          <w:szCs w:val="22"/>
        </w:rPr>
      </w:pPr>
      <w:r>
        <w:rPr>
          <w:noProof/>
        </w:rPr>
        <w:t>2.</w:t>
      </w:r>
      <w:r>
        <w:rPr>
          <w:rFonts w:eastAsiaTheme="minorEastAsia" w:cstheme="minorBidi"/>
          <w:b w:val="0"/>
          <w:bCs w:val="0"/>
          <w:noProof/>
          <w:kern w:val="0"/>
          <w:sz w:val="22"/>
          <w:szCs w:val="22"/>
        </w:rPr>
        <w:tab/>
      </w:r>
      <w:r>
        <w:rPr>
          <w:noProof/>
        </w:rPr>
        <w:t>2D BLE Modeling Inputs and Controls</w:t>
      </w:r>
      <w:r>
        <w:rPr>
          <w:noProof/>
        </w:rPr>
        <w:tab/>
      </w:r>
      <w:r>
        <w:rPr>
          <w:noProof/>
        </w:rPr>
        <w:fldChar w:fldCharType="begin"/>
      </w:r>
      <w:r>
        <w:rPr>
          <w:noProof/>
        </w:rPr>
        <w:instrText xml:space="preserve"> PAGEREF _Toc112244116 \h </w:instrText>
      </w:r>
      <w:r>
        <w:rPr>
          <w:noProof/>
        </w:rPr>
      </w:r>
      <w:r>
        <w:rPr>
          <w:noProof/>
        </w:rPr>
        <w:fldChar w:fldCharType="separate"/>
      </w:r>
      <w:r w:rsidR="007D7CA7">
        <w:rPr>
          <w:noProof/>
        </w:rPr>
        <w:t>3</w:t>
      </w:r>
      <w:r>
        <w:rPr>
          <w:noProof/>
        </w:rPr>
        <w:fldChar w:fldCharType="end"/>
      </w:r>
    </w:p>
    <w:p w14:paraId="48F8ACA2" w14:textId="77777777" w:rsidR="007E1F1A" w:rsidRDefault="007E1F1A">
      <w:pPr>
        <w:pStyle w:val="TOC2"/>
        <w:tabs>
          <w:tab w:val="left" w:pos="720"/>
          <w:tab w:val="right" w:leader="dot" w:pos="9350"/>
        </w:tabs>
        <w:rPr>
          <w:rFonts w:eastAsiaTheme="minorEastAsia" w:cstheme="minorBidi"/>
          <w:i w:val="0"/>
          <w:iCs w:val="0"/>
          <w:noProof/>
          <w:kern w:val="0"/>
          <w:sz w:val="22"/>
          <w:szCs w:val="22"/>
        </w:rPr>
      </w:pPr>
      <w:r>
        <w:rPr>
          <w:noProof/>
        </w:rPr>
        <w:t>2.1</w:t>
      </w:r>
      <w:r>
        <w:rPr>
          <w:rFonts w:eastAsiaTheme="minorEastAsia" w:cstheme="minorBidi"/>
          <w:i w:val="0"/>
          <w:iCs w:val="0"/>
          <w:noProof/>
          <w:kern w:val="0"/>
          <w:sz w:val="22"/>
          <w:szCs w:val="22"/>
        </w:rPr>
        <w:tab/>
      </w:r>
      <w:r>
        <w:rPr>
          <w:noProof/>
        </w:rPr>
        <w:t>Topographic Data</w:t>
      </w:r>
      <w:r>
        <w:rPr>
          <w:noProof/>
        </w:rPr>
        <w:tab/>
      </w:r>
      <w:r>
        <w:rPr>
          <w:noProof/>
        </w:rPr>
        <w:fldChar w:fldCharType="begin"/>
      </w:r>
      <w:r>
        <w:rPr>
          <w:noProof/>
        </w:rPr>
        <w:instrText xml:space="preserve"> PAGEREF _Toc112244117 \h </w:instrText>
      </w:r>
      <w:r>
        <w:rPr>
          <w:noProof/>
        </w:rPr>
      </w:r>
      <w:r>
        <w:rPr>
          <w:noProof/>
        </w:rPr>
        <w:fldChar w:fldCharType="separate"/>
      </w:r>
      <w:r w:rsidR="007D7CA7">
        <w:rPr>
          <w:noProof/>
        </w:rPr>
        <w:t>3</w:t>
      </w:r>
      <w:r>
        <w:rPr>
          <w:noProof/>
        </w:rPr>
        <w:fldChar w:fldCharType="end"/>
      </w:r>
    </w:p>
    <w:p w14:paraId="07038BB0" w14:textId="77777777" w:rsidR="007E1F1A" w:rsidRDefault="007E1F1A">
      <w:pPr>
        <w:pStyle w:val="TOC3"/>
        <w:tabs>
          <w:tab w:val="left" w:pos="1080"/>
          <w:tab w:val="right" w:leader="dot" w:pos="9350"/>
        </w:tabs>
        <w:rPr>
          <w:rFonts w:eastAsiaTheme="minorEastAsia" w:cstheme="minorBidi"/>
          <w:noProof/>
          <w:kern w:val="0"/>
          <w:sz w:val="22"/>
          <w:szCs w:val="22"/>
        </w:rPr>
      </w:pPr>
      <w:r>
        <w:rPr>
          <w:noProof/>
        </w:rPr>
        <w:t>2.1.1</w:t>
      </w:r>
      <w:r>
        <w:rPr>
          <w:rFonts w:eastAsiaTheme="minorEastAsia" w:cstheme="minorBidi"/>
          <w:noProof/>
          <w:kern w:val="0"/>
          <w:sz w:val="22"/>
          <w:szCs w:val="22"/>
        </w:rPr>
        <w:tab/>
      </w:r>
      <w:r>
        <w:rPr>
          <w:noProof/>
        </w:rPr>
        <w:t>Inventory</w:t>
      </w:r>
      <w:r>
        <w:rPr>
          <w:noProof/>
        </w:rPr>
        <w:tab/>
      </w:r>
      <w:r>
        <w:rPr>
          <w:noProof/>
        </w:rPr>
        <w:fldChar w:fldCharType="begin"/>
      </w:r>
      <w:r>
        <w:rPr>
          <w:noProof/>
        </w:rPr>
        <w:instrText xml:space="preserve"> PAGEREF _Toc112244118 \h </w:instrText>
      </w:r>
      <w:r>
        <w:rPr>
          <w:noProof/>
        </w:rPr>
        <w:fldChar w:fldCharType="separate"/>
      </w:r>
      <w:r w:rsidR="007D7CA7">
        <w:rPr>
          <w:b/>
          <w:bCs/>
          <w:noProof/>
        </w:rPr>
        <w:t>Error! Bookmark not defined.</w:t>
      </w:r>
      <w:r>
        <w:rPr>
          <w:noProof/>
        </w:rPr>
        <w:fldChar w:fldCharType="end"/>
      </w:r>
    </w:p>
    <w:p w14:paraId="2E128155" w14:textId="77777777" w:rsidR="007E1F1A" w:rsidRDefault="007E1F1A">
      <w:pPr>
        <w:pStyle w:val="TOC3"/>
        <w:tabs>
          <w:tab w:val="left" w:pos="1080"/>
          <w:tab w:val="right" w:leader="dot" w:pos="9350"/>
        </w:tabs>
        <w:rPr>
          <w:rFonts w:eastAsiaTheme="minorEastAsia" w:cstheme="minorBidi"/>
          <w:noProof/>
          <w:kern w:val="0"/>
          <w:sz w:val="22"/>
          <w:szCs w:val="22"/>
        </w:rPr>
      </w:pPr>
      <w:r>
        <w:rPr>
          <w:noProof/>
        </w:rPr>
        <w:t>2.1.2</w:t>
      </w:r>
      <w:r>
        <w:rPr>
          <w:rFonts w:eastAsiaTheme="minorEastAsia" w:cstheme="minorBidi"/>
          <w:noProof/>
          <w:kern w:val="0"/>
          <w:sz w:val="22"/>
          <w:szCs w:val="22"/>
        </w:rPr>
        <w:tab/>
      </w:r>
      <w:r>
        <w:rPr>
          <w:noProof/>
        </w:rPr>
        <w:t>Evaluation</w:t>
      </w:r>
      <w:r>
        <w:rPr>
          <w:noProof/>
        </w:rPr>
        <w:tab/>
      </w:r>
      <w:r>
        <w:rPr>
          <w:noProof/>
        </w:rPr>
        <w:fldChar w:fldCharType="begin"/>
      </w:r>
      <w:r>
        <w:rPr>
          <w:noProof/>
        </w:rPr>
        <w:instrText xml:space="preserve"> PAGEREF _Toc112244119 \h </w:instrText>
      </w:r>
      <w:r>
        <w:rPr>
          <w:noProof/>
        </w:rPr>
        <w:fldChar w:fldCharType="separate"/>
      </w:r>
      <w:r w:rsidR="007D7CA7">
        <w:rPr>
          <w:b/>
          <w:bCs/>
          <w:noProof/>
        </w:rPr>
        <w:t>Error! Bookmark not defined.</w:t>
      </w:r>
      <w:r>
        <w:rPr>
          <w:noProof/>
        </w:rPr>
        <w:fldChar w:fldCharType="end"/>
      </w:r>
    </w:p>
    <w:p w14:paraId="16F85BAB" w14:textId="77777777" w:rsidR="007E1F1A" w:rsidRDefault="007E1F1A">
      <w:pPr>
        <w:pStyle w:val="TOC4"/>
        <w:tabs>
          <w:tab w:val="left" w:pos="1440"/>
          <w:tab w:val="right" w:leader="dot" w:pos="9350"/>
        </w:tabs>
        <w:rPr>
          <w:rFonts w:eastAsiaTheme="minorEastAsia" w:cstheme="minorBidi"/>
          <w:noProof/>
          <w:kern w:val="0"/>
          <w:sz w:val="22"/>
          <w:szCs w:val="22"/>
        </w:rPr>
      </w:pPr>
      <w:r>
        <w:rPr>
          <w:noProof/>
        </w:rPr>
        <w:t>2.1.2.1</w:t>
      </w:r>
      <w:r>
        <w:rPr>
          <w:rFonts w:eastAsiaTheme="minorEastAsia" w:cstheme="minorBidi"/>
          <w:noProof/>
          <w:kern w:val="0"/>
          <w:sz w:val="22"/>
          <w:szCs w:val="22"/>
        </w:rPr>
        <w:tab/>
      </w:r>
      <w:r>
        <w:rPr>
          <w:noProof/>
        </w:rPr>
        <w:t>Cowhouse Watershed Source Terrain Data</w:t>
      </w:r>
      <w:r>
        <w:rPr>
          <w:noProof/>
        </w:rPr>
        <w:tab/>
      </w:r>
      <w:r>
        <w:rPr>
          <w:noProof/>
        </w:rPr>
        <w:fldChar w:fldCharType="begin"/>
      </w:r>
      <w:r>
        <w:rPr>
          <w:noProof/>
        </w:rPr>
        <w:instrText xml:space="preserve"> PAGEREF _Toc112244120 \h </w:instrText>
      </w:r>
      <w:r>
        <w:rPr>
          <w:noProof/>
        </w:rPr>
        <w:fldChar w:fldCharType="separate"/>
      </w:r>
      <w:r w:rsidR="007D7CA7">
        <w:rPr>
          <w:b/>
          <w:bCs/>
          <w:noProof/>
        </w:rPr>
        <w:t>Error! Bookmark not defined.</w:t>
      </w:r>
      <w:r>
        <w:rPr>
          <w:noProof/>
        </w:rPr>
        <w:fldChar w:fldCharType="end"/>
      </w:r>
    </w:p>
    <w:p w14:paraId="50E17507" w14:textId="77777777" w:rsidR="007E1F1A" w:rsidRDefault="007E1F1A">
      <w:pPr>
        <w:pStyle w:val="TOC3"/>
        <w:tabs>
          <w:tab w:val="left" w:pos="1080"/>
          <w:tab w:val="right" w:leader="dot" w:pos="9350"/>
        </w:tabs>
        <w:rPr>
          <w:rFonts w:eastAsiaTheme="minorEastAsia" w:cstheme="minorBidi"/>
          <w:noProof/>
          <w:kern w:val="0"/>
          <w:sz w:val="22"/>
          <w:szCs w:val="22"/>
        </w:rPr>
      </w:pPr>
      <w:r>
        <w:rPr>
          <w:noProof/>
        </w:rPr>
        <w:t>2.1.3</w:t>
      </w:r>
      <w:r>
        <w:rPr>
          <w:rFonts w:eastAsiaTheme="minorEastAsia" w:cstheme="minorBidi"/>
          <w:noProof/>
          <w:kern w:val="0"/>
          <w:sz w:val="22"/>
          <w:szCs w:val="22"/>
        </w:rPr>
        <w:tab/>
      </w:r>
      <w:r>
        <w:rPr>
          <w:noProof/>
        </w:rPr>
        <w:t>Data Processing</w:t>
      </w:r>
      <w:r>
        <w:rPr>
          <w:noProof/>
        </w:rPr>
        <w:tab/>
      </w:r>
      <w:r>
        <w:rPr>
          <w:noProof/>
        </w:rPr>
        <w:fldChar w:fldCharType="begin"/>
      </w:r>
      <w:r>
        <w:rPr>
          <w:noProof/>
        </w:rPr>
        <w:instrText xml:space="preserve"> PAGEREF _Toc112244121 \h </w:instrText>
      </w:r>
      <w:r>
        <w:rPr>
          <w:noProof/>
        </w:rPr>
        <w:fldChar w:fldCharType="separate"/>
      </w:r>
      <w:r w:rsidR="007D7CA7">
        <w:rPr>
          <w:b/>
          <w:bCs/>
          <w:noProof/>
        </w:rPr>
        <w:t>Error! Bookmark not defined.</w:t>
      </w:r>
      <w:r>
        <w:rPr>
          <w:noProof/>
        </w:rPr>
        <w:fldChar w:fldCharType="end"/>
      </w:r>
    </w:p>
    <w:p w14:paraId="74537970" w14:textId="77777777" w:rsidR="007E1F1A" w:rsidRDefault="007E1F1A">
      <w:pPr>
        <w:pStyle w:val="TOC3"/>
        <w:tabs>
          <w:tab w:val="left" w:pos="1080"/>
          <w:tab w:val="right" w:leader="dot" w:pos="9350"/>
        </w:tabs>
        <w:rPr>
          <w:rFonts w:eastAsiaTheme="minorEastAsia" w:cstheme="minorBidi"/>
          <w:noProof/>
          <w:kern w:val="0"/>
          <w:sz w:val="22"/>
          <w:szCs w:val="22"/>
        </w:rPr>
      </w:pPr>
      <w:r>
        <w:rPr>
          <w:noProof/>
        </w:rPr>
        <w:t>2.1.4</w:t>
      </w:r>
      <w:r>
        <w:rPr>
          <w:rFonts w:eastAsiaTheme="minorEastAsia" w:cstheme="minorBidi"/>
          <w:noProof/>
          <w:kern w:val="0"/>
          <w:sz w:val="22"/>
          <w:szCs w:val="22"/>
        </w:rPr>
        <w:tab/>
      </w:r>
      <w:r>
        <w:rPr>
          <w:noProof/>
        </w:rPr>
        <w:t>DEM QA/QC</w:t>
      </w:r>
      <w:r>
        <w:rPr>
          <w:noProof/>
        </w:rPr>
        <w:tab/>
      </w:r>
      <w:r>
        <w:rPr>
          <w:noProof/>
        </w:rPr>
        <w:fldChar w:fldCharType="begin"/>
      </w:r>
      <w:r>
        <w:rPr>
          <w:noProof/>
        </w:rPr>
        <w:instrText xml:space="preserve"> PAGEREF _Toc112244122 \h </w:instrText>
      </w:r>
      <w:r>
        <w:rPr>
          <w:noProof/>
        </w:rPr>
        <w:fldChar w:fldCharType="separate"/>
      </w:r>
      <w:r w:rsidR="007D7CA7">
        <w:rPr>
          <w:b/>
          <w:bCs/>
          <w:noProof/>
        </w:rPr>
        <w:t>Error! Bookmark not defined.</w:t>
      </w:r>
      <w:r>
        <w:rPr>
          <w:noProof/>
        </w:rPr>
        <w:fldChar w:fldCharType="end"/>
      </w:r>
    </w:p>
    <w:p w14:paraId="4166AD1B" w14:textId="77777777" w:rsidR="007E1F1A" w:rsidRDefault="007E1F1A">
      <w:pPr>
        <w:pStyle w:val="TOC2"/>
        <w:tabs>
          <w:tab w:val="left" w:pos="720"/>
          <w:tab w:val="right" w:leader="dot" w:pos="9350"/>
        </w:tabs>
        <w:rPr>
          <w:rFonts w:eastAsiaTheme="minorEastAsia" w:cstheme="minorBidi"/>
          <w:i w:val="0"/>
          <w:iCs w:val="0"/>
          <w:noProof/>
          <w:kern w:val="0"/>
          <w:sz w:val="22"/>
          <w:szCs w:val="22"/>
        </w:rPr>
      </w:pPr>
      <w:r>
        <w:rPr>
          <w:noProof/>
        </w:rPr>
        <w:t>2.2</w:t>
      </w:r>
      <w:r>
        <w:rPr>
          <w:rFonts w:eastAsiaTheme="minorEastAsia" w:cstheme="minorBidi"/>
          <w:i w:val="0"/>
          <w:iCs w:val="0"/>
          <w:noProof/>
          <w:kern w:val="0"/>
          <w:sz w:val="22"/>
          <w:szCs w:val="22"/>
        </w:rPr>
        <w:tab/>
      </w:r>
      <w:r>
        <w:rPr>
          <w:noProof/>
        </w:rPr>
        <w:t>2D BLE Methods</w:t>
      </w:r>
      <w:r>
        <w:rPr>
          <w:noProof/>
        </w:rPr>
        <w:tab/>
      </w:r>
      <w:r>
        <w:rPr>
          <w:noProof/>
        </w:rPr>
        <w:fldChar w:fldCharType="begin"/>
      </w:r>
      <w:r>
        <w:rPr>
          <w:noProof/>
        </w:rPr>
        <w:instrText xml:space="preserve"> PAGEREF _Toc112244123 \h </w:instrText>
      </w:r>
      <w:r>
        <w:rPr>
          <w:noProof/>
        </w:rPr>
      </w:r>
      <w:r>
        <w:rPr>
          <w:noProof/>
        </w:rPr>
        <w:fldChar w:fldCharType="separate"/>
      </w:r>
      <w:r w:rsidR="007D7CA7">
        <w:rPr>
          <w:noProof/>
        </w:rPr>
        <w:t>6</w:t>
      </w:r>
      <w:r>
        <w:rPr>
          <w:noProof/>
        </w:rPr>
        <w:fldChar w:fldCharType="end"/>
      </w:r>
    </w:p>
    <w:p w14:paraId="1B0BC28C" w14:textId="77777777" w:rsidR="007E1F1A" w:rsidRDefault="007E1F1A">
      <w:pPr>
        <w:pStyle w:val="TOC3"/>
        <w:tabs>
          <w:tab w:val="left" w:pos="1080"/>
          <w:tab w:val="right" w:leader="dot" w:pos="9350"/>
        </w:tabs>
        <w:rPr>
          <w:rFonts w:eastAsiaTheme="minorEastAsia" w:cstheme="minorBidi"/>
          <w:noProof/>
          <w:kern w:val="0"/>
          <w:sz w:val="22"/>
          <w:szCs w:val="22"/>
        </w:rPr>
      </w:pPr>
      <w:r>
        <w:rPr>
          <w:noProof/>
        </w:rPr>
        <w:t>2.2.1</w:t>
      </w:r>
      <w:r>
        <w:rPr>
          <w:rFonts w:eastAsiaTheme="minorEastAsia" w:cstheme="minorBidi"/>
          <w:noProof/>
          <w:kern w:val="0"/>
          <w:sz w:val="22"/>
          <w:szCs w:val="22"/>
        </w:rPr>
        <w:tab/>
      </w:r>
      <w:r>
        <w:rPr>
          <w:noProof/>
        </w:rPr>
        <w:t>2D Computational Mesh and Settings</w:t>
      </w:r>
      <w:r>
        <w:rPr>
          <w:noProof/>
        </w:rPr>
        <w:tab/>
      </w:r>
      <w:r>
        <w:rPr>
          <w:noProof/>
        </w:rPr>
        <w:fldChar w:fldCharType="begin"/>
      </w:r>
      <w:r>
        <w:rPr>
          <w:noProof/>
        </w:rPr>
        <w:instrText xml:space="preserve"> PAGEREF _Toc112244124 \h </w:instrText>
      </w:r>
      <w:r>
        <w:rPr>
          <w:noProof/>
        </w:rPr>
      </w:r>
      <w:r>
        <w:rPr>
          <w:noProof/>
        </w:rPr>
        <w:fldChar w:fldCharType="separate"/>
      </w:r>
      <w:r w:rsidR="007D7CA7">
        <w:rPr>
          <w:noProof/>
        </w:rPr>
        <w:t>6</w:t>
      </w:r>
      <w:r>
        <w:rPr>
          <w:noProof/>
        </w:rPr>
        <w:fldChar w:fldCharType="end"/>
      </w:r>
    </w:p>
    <w:p w14:paraId="2D333141" w14:textId="77777777" w:rsidR="007E1F1A" w:rsidRDefault="007E1F1A">
      <w:pPr>
        <w:pStyle w:val="TOC3"/>
        <w:tabs>
          <w:tab w:val="left" w:pos="1080"/>
          <w:tab w:val="right" w:leader="dot" w:pos="9350"/>
        </w:tabs>
        <w:rPr>
          <w:rFonts w:eastAsiaTheme="minorEastAsia" w:cstheme="minorBidi"/>
          <w:noProof/>
          <w:kern w:val="0"/>
          <w:sz w:val="22"/>
          <w:szCs w:val="22"/>
        </w:rPr>
      </w:pPr>
      <w:r>
        <w:rPr>
          <w:noProof/>
        </w:rPr>
        <w:t>2.2.2</w:t>
      </w:r>
      <w:r>
        <w:rPr>
          <w:rFonts w:eastAsiaTheme="minorEastAsia" w:cstheme="minorBidi"/>
          <w:noProof/>
          <w:kern w:val="0"/>
          <w:sz w:val="22"/>
          <w:szCs w:val="22"/>
        </w:rPr>
        <w:tab/>
      </w:r>
      <w:r>
        <w:rPr>
          <w:noProof/>
        </w:rPr>
        <w:t>Model and Boundary Condition Setup</w:t>
      </w:r>
      <w:r>
        <w:rPr>
          <w:noProof/>
        </w:rPr>
        <w:tab/>
      </w:r>
      <w:r>
        <w:rPr>
          <w:noProof/>
        </w:rPr>
        <w:fldChar w:fldCharType="begin"/>
      </w:r>
      <w:r>
        <w:rPr>
          <w:noProof/>
        </w:rPr>
        <w:instrText xml:space="preserve"> PAGEREF _Toc112244125 \h </w:instrText>
      </w:r>
      <w:r>
        <w:rPr>
          <w:noProof/>
        </w:rPr>
      </w:r>
      <w:r>
        <w:rPr>
          <w:noProof/>
        </w:rPr>
        <w:fldChar w:fldCharType="separate"/>
      </w:r>
      <w:r w:rsidR="007D7CA7">
        <w:rPr>
          <w:noProof/>
        </w:rPr>
        <w:t>7</w:t>
      </w:r>
      <w:r>
        <w:rPr>
          <w:noProof/>
        </w:rPr>
        <w:fldChar w:fldCharType="end"/>
      </w:r>
    </w:p>
    <w:p w14:paraId="1FF54D87" w14:textId="77777777" w:rsidR="007E1F1A" w:rsidRDefault="007E1F1A">
      <w:pPr>
        <w:pStyle w:val="TOC3"/>
        <w:tabs>
          <w:tab w:val="left" w:pos="1080"/>
          <w:tab w:val="right" w:leader="dot" w:pos="9350"/>
        </w:tabs>
        <w:rPr>
          <w:rFonts w:eastAsiaTheme="minorEastAsia" w:cstheme="minorBidi"/>
          <w:noProof/>
          <w:kern w:val="0"/>
          <w:sz w:val="22"/>
          <w:szCs w:val="22"/>
        </w:rPr>
      </w:pPr>
      <w:r>
        <w:rPr>
          <w:noProof/>
        </w:rPr>
        <w:t>2.2.3</w:t>
      </w:r>
      <w:r>
        <w:rPr>
          <w:rFonts w:eastAsiaTheme="minorEastAsia" w:cstheme="minorBidi"/>
          <w:noProof/>
          <w:kern w:val="0"/>
          <w:sz w:val="22"/>
          <w:szCs w:val="22"/>
        </w:rPr>
        <w:tab/>
      </w:r>
      <w:r>
        <w:rPr>
          <w:noProof/>
        </w:rPr>
        <w:t>Hydrology</w:t>
      </w:r>
      <w:r>
        <w:rPr>
          <w:noProof/>
        </w:rPr>
        <w:tab/>
      </w:r>
      <w:r>
        <w:rPr>
          <w:noProof/>
        </w:rPr>
        <w:fldChar w:fldCharType="begin"/>
      </w:r>
      <w:r>
        <w:rPr>
          <w:noProof/>
        </w:rPr>
        <w:instrText xml:space="preserve"> PAGEREF _Toc112244126 \h </w:instrText>
      </w:r>
      <w:r>
        <w:rPr>
          <w:noProof/>
        </w:rPr>
      </w:r>
      <w:r>
        <w:rPr>
          <w:noProof/>
        </w:rPr>
        <w:fldChar w:fldCharType="separate"/>
      </w:r>
      <w:r w:rsidR="007D7CA7">
        <w:rPr>
          <w:noProof/>
        </w:rPr>
        <w:t>8</w:t>
      </w:r>
      <w:r>
        <w:rPr>
          <w:noProof/>
        </w:rPr>
        <w:fldChar w:fldCharType="end"/>
      </w:r>
    </w:p>
    <w:p w14:paraId="20ABEF63" w14:textId="77777777" w:rsidR="007E1F1A" w:rsidRDefault="007E1F1A">
      <w:pPr>
        <w:pStyle w:val="TOC4"/>
        <w:tabs>
          <w:tab w:val="left" w:pos="1440"/>
          <w:tab w:val="right" w:leader="dot" w:pos="9350"/>
        </w:tabs>
        <w:rPr>
          <w:rFonts w:eastAsiaTheme="minorEastAsia" w:cstheme="minorBidi"/>
          <w:noProof/>
          <w:kern w:val="0"/>
          <w:sz w:val="22"/>
          <w:szCs w:val="22"/>
        </w:rPr>
      </w:pPr>
      <w:r>
        <w:rPr>
          <w:noProof/>
        </w:rPr>
        <w:t>2.2.3.1</w:t>
      </w:r>
      <w:r>
        <w:rPr>
          <w:rFonts w:eastAsiaTheme="minorEastAsia" w:cstheme="minorBidi"/>
          <w:noProof/>
          <w:kern w:val="0"/>
          <w:sz w:val="22"/>
          <w:szCs w:val="22"/>
        </w:rPr>
        <w:tab/>
      </w:r>
      <w:r>
        <w:rPr>
          <w:noProof/>
        </w:rPr>
        <w:t>Excess Precipitation for 2D Computational Mesh</w:t>
      </w:r>
      <w:r>
        <w:rPr>
          <w:noProof/>
        </w:rPr>
        <w:tab/>
      </w:r>
      <w:r>
        <w:rPr>
          <w:noProof/>
        </w:rPr>
        <w:fldChar w:fldCharType="begin"/>
      </w:r>
      <w:r>
        <w:rPr>
          <w:noProof/>
        </w:rPr>
        <w:instrText xml:space="preserve"> PAGEREF _Toc112244127 \h </w:instrText>
      </w:r>
      <w:r>
        <w:rPr>
          <w:noProof/>
        </w:rPr>
      </w:r>
      <w:r>
        <w:rPr>
          <w:noProof/>
        </w:rPr>
        <w:fldChar w:fldCharType="separate"/>
      </w:r>
      <w:r w:rsidR="007D7CA7">
        <w:rPr>
          <w:noProof/>
        </w:rPr>
        <w:t>9</w:t>
      </w:r>
      <w:r>
        <w:rPr>
          <w:noProof/>
        </w:rPr>
        <w:fldChar w:fldCharType="end"/>
      </w:r>
    </w:p>
    <w:p w14:paraId="7F0B7D68" w14:textId="77777777" w:rsidR="007E1F1A" w:rsidRDefault="007E1F1A">
      <w:pPr>
        <w:pStyle w:val="TOC4"/>
        <w:tabs>
          <w:tab w:val="left" w:pos="1440"/>
          <w:tab w:val="right" w:leader="dot" w:pos="9350"/>
        </w:tabs>
        <w:rPr>
          <w:rFonts w:eastAsiaTheme="minorEastAsia" w:cstheme="minorBidi"/>
          <w:noProof/>
          <w:kern w:val="0"/>
          <w:sz w:val="22"/>
          <w:szCs w:val="22"/>
        </w:rPr>
      </w:pPr>
      <w:r>
        <w:rPr>
          <w:noProof/>
        </w:rPr>
        <w:t>2.2.3.2</w:t>
      </w:r>
      <w:r>
        <w:rPr>
          <w:rFonts w:eastAsiaTheme="minorEastAsia" w:cstheme="minorBidi"/>
          <w:noProof/>
          <w:kern w:val="0"/>
          <w:sz w:val="22"/>
          <w:szCs w:val="22"/>
        </w:rPr>
        <w:tab/>
      </w:r>
      <w:r>
        <w:rPr>
          <w:noProof/>
        </w:rPr>
        <w:t>Stage Hydrograph Boundary Conditions</w:t>
      </w:r>
      <w:r>
        <w:rPr>
          <w:noProof/>
        </w:rPr>
        <w:tab/>
      </w:r>
      <w:r>
        <w:rPr>
          <w:noProof/>
        </w:rPr>
        <w:fldChar w:fldCharType="begin"/>
      </w:r>
      <w:r>
        <w:rPr>
          <w:noProof/>
        </w:rPr>
        <w:instrText xml:space="preserve"> PAGEREF _Toc112244128 \h </w:instrText>
      </w:r>
      <w:r>
        <w:rPr>
          <w:noProof/>
        </w:rPr>
      </w:r>
      <w:r>
        <w:rPr>
          <w:noProof/>
        </w:rPr>
        <w:fldChar w:fldCharType="separate"/>
      </w:r>
      <w:r w:rsidR="007D7CA7">
        <w:rPr>
          <w:noProof/>
        </w:rPr>
        <w:t>12</w:t>
      </w:r>
      <w:r>
        <w:rPr>
          <w:noProof/>
        </w:rPr>
        <w:fldChar w:fldCharType="end"/>
      </w:r>
    </w:p>
    <w:p w14:paraId="76D6F3D1" w14:textId="77777777" w:rsidR="007E1F1A" w:rsidRDefault="007E1F1A">
      <w:pPr>
        <w:pStyle w:val="TOC3"/>
        <w:tabs>
          <w:tab w:val="left" w:pos="1080"/>
          <w:tab w:val="right" w:leader="dot" w:pos="9350"/>
        </w:tabs>
        <w:rPr>
          <w:rFonts w:eastAsiaTheme="minorEastAsia" w:cstheme="minorBidi"/>
          <w:noProof/>
          <w:kern w:val="0"/>
          <w:sz w:val="22"/>
          <w:szCs w:val="22"/>
        </w:rPr>
      </w:pPr>
      <w:r>
        <w:rPr>
          <w:noProof/>
        </w:rPr>
        <w:t>2.2.4</w:t>
      </w:r>
      <w:r>
        <w:rPr>
          <w:rFonts w:eastAsiaTheme="minorEastAsia" w:cstheme="minorBidi"/>
          <w:noProof/>
          <w:kern w:val="0"/>
          <w:sz w:val="22"/>
          <w:szCs w:val="22"/>
        </w:rPr>
        <w:tab/>
      </w:r>
      <w:r>
        <w:rPr>
          <w:noProof/>
        </w:rPr>
        <w:t>Hydraulics</w:t>
      </w:r>
      <w:r>
        <w:rPr>
          <w:noProof/>
        </w:rPr>
        <w:tab/>
      </w:r>
      <w:r>
        <w:rPr>
          <w:noProof/>
        </w:rPr>
        <w:fldChar w:fldCharType="begin"/>
      </w:r>
      <w:r>
        <w:rPr>
          <w:noProof/>
        </w:rPr>
        <w:instrText xml:space="preserve"> PAGEREF _Toc112244129 \h </w:instrText>
      </w:r>
      <w:r>
        <w:rPr>
          <w:noProof/>
        </w:rPr>
      </w:r>
      <w:r>
        <w:rPr>
          <w:noProof/>
        </w:rPr>
        <w:fldChar w:fldCharType="separate"/>
      </w:r>
      <w:r w:rsidR="007D7CA7">
        <w:rPr>
          <w:noProof/>
        </w:rPr>
        <w:t>13</w:t>
      </w:r>
      <w:r>
        <w:rPr>
          <w:noProof/>
        </w:rPr>
        <w:fldChar w:fldCharType="end"/>
      </w:r>
    </w:p>
    <w:p w14:paraId="2F548E7D" w14:textId="77777777" w:rsidR="007E1F1A" w:rsidRDefault="007E1F1A">
      <w:pPr>
        <w:pStyle w:val="TOC4"/>
        <w:tabs>
          <w:tab w:val="left" w:pos="1440"/>
          <w:tab w:val="right" w:leader="dot" w:pos="9350"/>
        </w:tabs>
        <w:rPr>
          <w:rFonts w:eastAsiaTheme="minorEastAsia" w:cstheme="minorBidi"/>
          <w:noProof/>
          <w:kern w:val="0"/>
          <w:sz w:val="22"/>
          <w:szCs w:val="22"/>
        </w:rPr>
      </w:pPr>
      <w:r>
        <w:rPr>
          <w:noProof/>
        </w:rPr>
        <w:t>2.2.4.1</w:t>
      </w:r>
      <w:r>
        <w:rPr>
          <w:rFonts w:eastAsiaTheme="minorEastAsia" w:cstheme="minorBidi"/>
          <w:noProof/>
          <w:kern w:val="0"/>
          <w:sz w:val="22"/>
          <w:szCs w:val="22"/>
        </w:rPr>
        <w:tab/>
      </w:r>
      <w:r>
        <w:rPr>
          <w:noProof/>
        </w:rPr>
        <w:t>Roughness Coefficients</w:t>
      </w:r>
      <w:r>
        <w:rPr>
          <w:noProof/>
        </w:rPr>
        <w:tab/>
      </w:r>
      <w:r>
        <w:rPr>
          <w:noProof/>
        </w:rPr>
        <w:fldChar w:fldCharType="begin"/>
      </w:r>
      <w:r>
        <w:rPr>
          <w:noProof/>
        </w:rPr>
        <w:instrText xml:space="preserve"> PAGEREF _Toc112244130 \h </w:instrText>
      </w:r>
      <w:r>
        <w:rPr>
          <w:noProof/>
        </w:rPr>
      </w:r>
      <w:r>
        <w:rPr>
          <w:noProof/>
        </w:rPr>
        <w:fldChar w:fldCharType="separate"/>
      </w:r>
      <w:r w:rsidR="007D7CA7">
        <w:rPr>
          <w:noProof/>
        </w:rPr>
        <w:t>13</w:t>
      </w:r>
      <w:r>
        <w:rPr>
          <w:noProof/>
        </w:rPr>
        <w:fldChar w:fldCharType="end"/>
      </w:r>
    </w:p>
    <w:p w14:paraId="59EB2B19" w14:textId="77777777" w:rsidR="007E1F1A" w:rsidRDefault="007E1F1A">
      <w:pPr>
        <w:pStyle w:val="TOC4"/>
        <w:tabs>
          <w:tab w:val="left" w:pos="1440"/>
          <w:tab w:val="right" w:leader="dot" w:pos="9350"/>
        </w:tabs>
        <w:rPr>
          <w:rFonts w:eastAsiaTheme="minorEastAsia" w:cstheme="minorBidi"/>
          <w:noProof/>
          <w:kern w:val="0"/>
          <w:sz w:val="22"/>
          <w:szCs w:val="22"/>
        </w:rPr>
      </w:pPr>
      <w:r>
        <w:rPr>
          <w:noProof/>
        </w:rPr>
        <w:t>2.2.4.2</w:t>
      </w:r>
      <w:r>
        <w:rPr>
          <w:rFonts w:eastAsiaTheme="minorEastAsia" w:cstheme="minorBidi"/>
          <w:noProof/>
          <w:kern w:val="0"/>
          <w:sz w:val="22"/>
          <w:szCs w:val="22"/>
        </w:rPr>
        <w:tab/>
      </w:r>
      <w:r>
        <w:rPr>
          <w:noProof/>
        </w:rPr>
        <w:t>Breaklines</w:t>
      </w:r>
      <w:r>
        <w:rPr>
          <w:noProof/>
        </w:rPr>
        <w:tab/>
      </w:r>
      <w:r>
        <w:rPr>
          <w:noProof/>
        </w:rPr>
        <w:fldChar w:fldCharType="begin"/>
      </w:r>
      <w:r>
        <w:rPr>
          <w:noProof/>
        </w:rPr>
        <w:instrText xml:space="preserve"> PAGEREF _Toc112244131 \h </w:instrText>
      </w:r>
      <w:r>
        <w:rPr>
          <w:noProof/>
        </w:rPr>
      </w:r>
      <w:r>
        <w:rPr>
          <w:noProof/>
        </w:rPr>
        <w:fldChar w:fldCharType="separate"/>
      </w:r>
      <w:r w:rsidR="007D7CA7">
        <w:rPr>
          <w:noProof/>
        </w:rPr>
        <w:t>14</w:t>
      </w:r>
      <w:r>
        <w:rPr>
          <w:noProof/>
        </w:rPr>
        <w:fldChar w:fldCharType="end"/>
      </w:r>
    </w:p>
    <w:p w14:paraId="2DE1482F" w14:textId="77777777" w:rsidR="007E1F1A" w:rsidRDefault="007E1F1A">
      <w:pPr>
        <w:pStyle w:val="TOC4"/>
        <w:tabs>
          <w:tab w:val="left" w:pos="1440"/>
          <w:tab w:val="right" w:leader="dot" w:pos="9350"/>
        </w:tabs>
        <w:rPr>
          <w:rFonts w:eastAsiaTheme="minorEastAsia" w:cstheme="minorBidi"/>
          <w:noProof/>
          <w:kern w:val="0"/>
          <w:sz w:val="22"/>
          <w:szCs w:val="22"/>
        </w:rPr>
      </w:pPr>
      <w:r>
        <w:rPr>
          <w:noProof/>
        </w:rPr>
        <w:t>2.2.4.3</w:t>
      </w:r>
      <w:r>
        <w:rPr>
          <w:rFonts w:eastAsiaTheme="minorEastAsia" w:cstheme="minorBidi"/>
          <w:noProof/>
          <w:kern w:val="0"/>
          <w:sz w:val="22"/>
          <w:szCs w:val="22"/>
        </w:rPr>
        <w:tab/>
      </w:r>
      <w:r>
        <w:rPr>
          <w:noProof/>
        </w:rPr>
        <w:t>Refinement Regions</w:t>
      </w:r>
      <w:r>
        <w:rPr>
          <w:noProof/>
        </w:rPr>
        <w:tab/>
      </w:r>
      <w:r>
        <w:rPr>
          <w:noProof/>
        </w:rPr>
        <w:fldChar w:fldCharType="begin"/>
      </w:r>
      <w:r>
        <w:rPr>
          <w:noProof/>
        </w:rPr>
        <w:instrText xml:space="preserve"> PAGEREF _Toc112244132 \h </w:instrText>
      </w:r>
      <w:r>
        <w:rPr>
          <w:noProof/>
        </w:rPr>
      </w:r>
      <w:r>
        <w:rPr>
          <w:noProof/>
        </w:rPr>
        <w:fldChar w:fldCharType="separate"/>
      </w:r>
      <w:r w:rsidR="007D7CA7">
        <w:rPr>
          <w:noProof/>
        </w:rPr>
        <w:t>15</w:t>
      </w:r>
      <w:r>
        <w:rPr>
          <w:noProof/>
        </w:rPr>
        <w:fldChar w:fldCharType="end"/>
      </w:r>
    </w:p>
    <w:p w14:paraId="369AEE58" w14:textId="77777777" w:rsidR="007E1F1A" w:rsidRDefault="007E1F1A">
      <w:pPr>
        <w:pStyle w:val="TOC3"/>
        <w:tabs>
          <w:tab w:val="left" w:pos="1080"/>
          <w:tab w:val="right" w:leader="dot" w:pos="9350"/>
        </w:tabs>
        <w:rPr>
          <w:rFonts w:eastAsiaTheme="minorEastAsia" w:cstheme="minorBidi"/>
          <w:noProof/>
          <w:kern w:val="0"/>
          <w:sz w:val="22"/>
          <w:szCs w:val="22"/>
        </w:rPr>
      </w:pPr>
      <w:r>
        <w:rPr>
          <w:noProof/>
        </w:rPr>
        <w:t>2.2.5</w:t>
      </w:r>
      <w:r>
        <w:rPr>
          <w:rFonts w:eastAsiaTheme="minorEastAsia" w:cstheme="minorBidi"/>
          <w:noProof/>
          <w:kern w:val="0"/>
          <w:sz w:val="22"/>
          <w:szCs w:val="22"/>
        </w:rPr>
        <w:tab/>
      </w:r>
      <w:r>
        <w:rPr>
          <w:noProof/>
        </w:rPr>
        <w:t>Quality Control</w:t>
      </w:r>
      <w:r>
        <w:rPr>
          <w:noProof/>
        </w:rPr>
        <w:tab/>
      </w:r>
      <w:r>
        <w:rPr>
          <w:noProof/>
        </w:rPr>
        <w:fldChar w:fldCharType="begin"/>
      </w:r>
      <w:r>
        <w:rPr>
          <w:noProof/>
        </w:rPr>
        <w:instrText xml:space="preserve"> PAGEREF _Toc112244133 \h </w:instrText>
      </w:r>
      <w:r>
        <w:rPr>
          <w:noProof/>
        </w:rPr>
      </w:r>
      <w:r>
        <w:rPr>
          <w:noProof/>
        </w:rPr>
        <w:fldChar w:fldCharType="separate"/>
      </w:r>
      <w:r w:rsidR="007D7CA7">
        <w:rPr>
          <w:noProof/>
        </w:rPr>
        <w:t>16</w:t>
      </w:r>
      <w:r>
        <w:rPr>
          <w:noProof/>
        </w:rPr>
        <w:fldChar w:fldCharType="end"/>
      </w:r>
    </w:p>
    <w:p w14:paraId="70B67371" w14:textId="77777777" w:rsidR="007E1F1A" w:rsidRDefault="007E1F1A">
      <w:pPr>
        <w:pStyle w:val="TOC1"/>
        <w:tabs>
          <w:tab w:val="left" w:pos="540"/>
          <w:tab w:val="right" w:leader="dot" w:pos="9350"/>
        </w:tabs>
        <w:rPr>
          <w:rFonts w:eastAsiaTheme="minorEastAsia" w:cstheme="minorBidi"/>
          <w:b w:val="0"/>
          <w:bCs w:val="0"/>
          <w:noProof/>
          <w:kern w:val="0"/>
          <w:sz w:val="22"/>
          <w:szCs w:val="22"/>
        </w:rPr>
      </w:pPr>
      <w:r>
        <w:rPr>
          <w:noProof/>
        </w:rPr>
        <w:t>3.</w:t>
      </w:r>
      <w:r>
        <w:rPr>
          <w:rFonts w:eastAsiaTheme="minorEastAsia" w:cstheme="minorBidi"/>
          <w:b w:val="0"/>
          <w:bCs w:val="0"/>
          <w:noProof/>
          <w:kern w:val="0"/>
          <w:sz w:val="22"/>
          <w:szCs w:val="22"/>
        </w:rPr>
        <w:tab/>
      </w:r>
      <w:r>
        <w:rPr>
          <w:noProof/>
        </w:rPr>
        <w:t>Results</w:t>
      </w:r>
      <w:r>
        <w:rPr>
          <w:noProof/>
        </w:rPr>
        <w:tab/>
      </w:r>
      <w:r>
        <w:rPr>
          <w:noProof/>
        </w:rPr>
        <w:fldChar w:fldCharType="begin"/>
      </w:r>
      <w:r>
        <w:rPr>
          <w:noProof/>
        </w:rPr>
        <w:instrText xml:space="preserve"> PAGEREF _Toc112244134 \h </w:instrText>
      </w:r>
      <w:r>
        <w:rPr>
          <w:noProof/>
        </w:rPr>
      </w:r>
      <w:r>
        <w:rPr>
          <w:noProof/>
        </w:rPr>
        <w:fldChar w:fldCharType="separate"/>
      </w:r>
      <w:r w:rsidR="007D7CA7">
        <w:rPr>
          <w:noProof/>
        </w:rPr>
        <w:t>16</w:t>
      </w:r>
      <w:r>
        <w:rPr>
          <w:noProof/>
        </w:rPr>
        <w:fldChar w:fldCharType="end"/>
      </w:r>
    </w:p>
    <w:p w14:paraId="2277AF36" w14:textId="77777777" w:rsidR="007E1F1A" w:rsidRDefault="007E1F1A">
      <w:pPr>
        <w:pStyle w:val="TOC2"/>
        <w:tabs>
          <w:tab w:val="left" w:pos="720"/>
          <w:tab w:val="right" w:leader="dot" w:pos="9350"/>
        </w:tabs>
        <w:rPr>
          <w:rFonts w:eastAsiaTheme="minorEastAsia" w:cstheme="minorBidi"/>
          <w:i w:val="0"/>
          <w:iCs w:val="0"/>
          <w:noProof/>
          <w:kern w:val="0"/>
          <w:sz w:val="22"/>
          <w:szCs w:val="22"/>
        </w:rPr>
      </w:pPr>
      <w:r>
        <w:rPr>
          <w:noProof/>
        </w:rPr>
        <w:t>3.1</w:t>
      </w:r>
      <w:r>
        <w:rPr>
          <w:rFonts w:eastAsiaTheme="minorEastAsia" w:cstheme="minorBidi"/>
          <w:i w:val="0"/>
          <w:iCs w:val="0"/>
          <w:noProof/>
          <w:kern w:val="0"/>
          <w:sz w:val="22"/>
          <w:szCs w:val="22"/>
        </w:rPr>
        <w:tab/>
      </w:r>
      <w:r>
        <w:rPr>
          <w:noProof/>
        </w:rPr>
        <w:t>Calibration</w:t>
      </w:r>
      <w:r>
        <w:rPr>
          <w:noProof/>
        </w:rPr>
        <w:tab/>
      </w:r>
      <w:r>
        <w:rPr>
          <w:noProof/>
        </w:rPr>
        <w:fldChar w:fldCharType="begin"/>
      </w:r>
      <w:r>
        <w:rPr>
          <w:noProof/>
        </w:rPr>
        <w:instrText xml:space="preserve"> PAGEREF _Toc112244135 \h </w:instrText>
      </w:r>
      <w:r>
        <w:rPr>
          <w:noProof/>
        </w:rPr>
      </w:r>
      <w:r>
        <w:rPr>
          <w:noProof/>
        </w:rPr>
        <w:fldChar w:fldCharType="separate"/>
      </w:r>
      <w:r w:rsidR="007D7CA7">
        <w:rPr>
          <w:noProof/>
        </w:rPr>
        <w:t>16</w:t>
      </w:r>
      <w:r>
        <w:rPr>
          <w:noProof/>
        </w:rPr>
        <w:fldChar w:fldCharType="end"/>
      </w:r>
    </w:p>
    <w:p w14:paraId="64897984" w14:textId="77777777" w:rsidR="007E1F1A" w:rsidRDefault="007E1F1A">
      <w:pPr>
        <w:pStyle w:val="TOC2"/>
        <w:tabs>
          <w:tab w:val="left" w:pos="720"/>
          <w:tab w:val="right" w:leader="dot" w:pos="9350"/>
        </w:tabs>
        <w:rPr>
          <w:rFonts w:eastAsiaTheme="minorEastAsia" w:cstheme="minorBidi"/>
          <w:i w:val="0"/>
          <w:iCs w:val="0"/>
          <w:noProof/>
          <w:kern w:val="0"/>
          <w:sz w:val="22"/>
          <w:szCs w:val="22"/>
        </w:rPr>
      </w:pPr>
      <w:r>
        <w:rPr>
          <w:noProof/>
        </w:rPr>
        <w:t>3.2</w:t>
      </w:r>
      <w:r>
        <w:rPr>
          <w:rFonts w:eastAsiaTheme="minorEastAsia" w:cstheme="minorBidi"/>
          <w:i w:val="0"/>
          <w:iCs w:val="0"/>
          <w:noProof/>
          <w:kern w:val="0"/>
          <w:sz w:val="22"/>
          <w:szCs w:val="22"/>
        </w:rPr>
        <w:tab/>
      </w:r>
      <w:r>
        <w:rPr>
          <w:noProof/>
        </w:rPr>
        <w:t>Challenges</w:t>
      </w:r>
      <w:r>
        <w:rPr>
          <w:noProof/>
        </w:rPr>
        <w:tab/>
      </w:r>
      <w:r>
        <w:rPr>
          <w:noProof/>
        </w:rPr>
        <w:fldChar w:fldCharType="begin"/>
      </w:r>
      <w:r>
        <w:rPr>
          <w:noProof/>
        </w:rPr>
        <w:instrText xml:space="preserve"> PAGEREF _Toc112244136 \h </w:instrText>
      </w:r>
      <w:r>
        <w:rPr>
          <w:noProof/>
        </w:rPr>
      </w:r>
      <w:r>
        <w:rPr>
          <w:noProof/>
        </w:rPr>
        <w:fldChar w:fldCharType="separate"/>
      </w:r>
      <w:r w:rsidR="007D7CA7">
        <w:rPr>
          <w:noProof/>
        </w:rPr>
        <w:t>18</w:t>
      </w:r>
      <w:r>
        <w:rPr>
          <w:noProof/>
        </w:rPr>
        <w:fldChar w:fldCharType="end"/>
      </w:r>
    </w:p>
    <w:p w14:paraId="0907A110" w14:textId="77777777" w:rsidR="007E1F1A" w:rsidRDefault="007E1F1A">
      <w:pPr>
        <w:pStyle w:val="TOC2"/>
        <w:tabs>
          <w:tab w:val="left" w:pos="720"/>
          <w:tab w:val="right" w:leader="dot" w:pos="9350"/>
        </w:tabs>
        <w:rPr>
          <w:rFonts w:eastAsiaTheme="minorEastAsia" w:cstheme="minorBidi"/>
          <w:i w:val="0"/>
          <w:iCs w:val="0"/>
          <w:noProof/>
          <w:kern w:val="0"/>
          <w:sz w:val="22"/>
          <w:szCs w:val="22"/>
        </w:rPr>
      </w:pPr>
      <w:r>
        <w:rPr>
          <w:noProof/>
        </w:rPr>
        <w:t>3.3</w:t>
      </w:r>
      <w:r>
        <w:rPr>
          <w:rFonts w:eastAsiaTheme="minorEastAsia" w:cstheme="minorBidi"/>
          <w:i w:val="0"/>
          <w:iCs w:val="0"/>
          <w:noProof/>
          <w:kern w:val="0"/>
          <w:sz w:val="22"/>
          <w:szCs w:val="22"/>
        </w:rPr>
        <w:tab/>
      </w:r>
      <w:r>
        <w:rPr>
          <w:noProof/>
        </w:rPr>
        <w:t>Recommendations</w:t>
      </w:r>
      <w:r>
        <w:rPr>
          <w:noProof/>
        </w:rPr>
        <w:tab/>
      </w:r>
      <w:r>
        <w:rPr>
          <w:noProof/>
        </w:rPr>
        <w:fldChar w:fldCharType="begin"/>
      </w:r>
      <w:r>
        <w:rPr>
          <w:noProof/>
        </w:rPr>
        <w:instrText xml:space="preserve"> PAGEREF _Toc112244137 \h </w:instrText>
      </w:r>
      <w:r>
        <w:rPr>
          <w:noProof/>
        </w:rPr>
      </w:r>
      <w:r>
        <w:rPr>
          <w:noProof/>
        </w:rPr>
        <w:fldChar w:fldCharType="separate"/>
      </w:r>
      <w:r w:rsidR="007D7CA7">
        <w:rPr>
          <w:noProof/>
        </w:rPr>
        <w:t>19</w:t>
      </w:r>
      <w:r>
        <w:rPr>
          <w:noProof/>
        </w:rPr>
        <w:fldChar w:fldCharType="end"/>
      </w:r>
    </w:p>
    <w:p w14:paraId="04BA89B4" w14:textId="77777777" w:rsidR="007E1F1A" w:rsidRDefault="007E1F1A">
      <w:pPr>
        <w:pStyle w:val="TOC1"/>
        <w:tabs>
          <w:tab w:val="left" w:pos="540"/>
          <w:tab w:val="right" w:leader="dot" w:pos="9350"/>
        </w:tabs>
        <w:rPr>
          <w:rFonts w:eastAsiaTheme="minorEastAsia" w:cstheme="minorBidi"/>
          <w:b w:val="0"/>
          <w:bCs w:val="0"/>
          <w:noProof/>
          <w:kern w:val="0"/>
          <w:sz w:val="22"/>
          <w:szCs w:val="22"/>
        </w:rPr>
      </w:pPr>
      <w:r>
        <w:rPr>
          <w:noProof/>
        </w:rPr>
        <w:t>4.</w:t>
      </w:r>
      <w:r>
        <w:rPr>
          <w:rFonts w:eastAsiaTheme="minorEastAsia" w:cstheme="minorBidi"/>
          <w:b w:val="0"/>
          <w:bCs w:val="0"/>
          <w:noProof/>
          <w:kern w:val="0"/>
          <w:sz w:val="22"/>
          <w:szCs w:val="22"/>
        </w:rPr>
        <w:tab/>
      </w:r>
      <w:r>
        <w:rPr>
          <w:noProof/>
        </w:rPr>
        <w:t>Floodplain Mapping and Effective Zone A Validation</w:t>
      </w:r>
      <w:r>
        <w:rPr>
          <w:noProof/>
        </w:rPr>
        <w:tab/>
      </w:r>
      <w:r>
        <w:rPr>
          <w:noProof/>
        </w:rPr>
        <w:fldChar w:fldCharType="begin"/>
      </w:r>
      <w:r>
        <w:rPr>
          <w:noProof/>
        </w:rPr>
        <w:instrText xml:space="preserve"> PAGEREF _Toc112244138 \h </w:instrText>
      </w:r>
      <w:r>
        <w:rPr>
          <w:noProof/>
        </w:rPr>
      </w:r>
      <w:r>
        <w:rPr>
          <w:noProof/>
        </w:rPr>
        <w:fldChar w:fldCharType="separate"/>
      </w:r>
      <w:r w:rsidR="007D7CA7">
        <w:rPr>
          <w:noProof/>
        </w:rPr>
        <w:t>19</w:t>
      </w:r>
      <w:r>
        <w:rPr>
          <w:noProof/>
        </w:rPr>
        <w:fldChar w:fldCharType="end"/>
      </w:r>
    </w:p>
    <w:p w14:paraId="03417C49" w14:textId="77777777" w:rsidR="007E1F1A" w:rsidRDefault="007E1F1A">
      <w:pPr>
        <w:pStyle w:val="TOC2"/>
        <w:tabs>
          <w:tab w:val="left" w:pos="720"/>
          <w:tab w:val="right" w:leader="dot" w:pos="9350"/>
        </w:tabs>
        <w:rPr>
          <w:rFonts w:eastAsiaTheme="minorEastAsia" w:cstheme="minorBidi"/>
          <w:i w:val="0"/>
          <w:iCs w:val="0"/>
          <w:noProof/>
          <w:kern w:val="0"/>
          <w:sz w:val="22"/>
          <w:szCs w:val="22"/>
        </w:rPr>
      </w:pPr>
      <w:r>
        <w:rPr>
          <w:noProof/>
        </w:rPr>
        <w:t>4.1</w:t>
      </w:r>
      <w:r>
        <w:rPr>
          <w:rFonts w:eastAsiaTheme="minorEastAsia" w:cstheme="minorBidi"/>
          <w:i w:val="0"/>
          <w:iCs w:val="0"/>
          <w:noProof/>
          <w:kern w:val="0"/>
          <w:sz w:val="22"/>
          <w:szCs w:val="22"/>
        </w:rPr>
        <w:tab/>
      </w:r>
      <w:r>
        <w:rPr>
          <w:noProof/>
        </w:rPr>
        <w:t>Special Flood Hazard Area</w:t>
      </w:r>
      <w:r>
        <w:rPr>
          <w:noProof/>
        </w:rPr>
        <w:tab/>
      </w:r>
      <w:r>
        <w:rPr>
          <w:noProof/>
        </w:rPr>
        <w:fldChar w:fldCharType="begin"/>
      </w:r>
      <w:r>
        <w:rPr>
          <w:noProof/>
        </w:rPr>
        <w:instrText xml:space="preserve"> PAGEREF _Toc112244139 \h </w:instrText>
      </w:r>
      <w:r>
        <w:rPr>
          <w:noProof/>
        </w:rPr>
      </w:r>
      <w:r>
        <w:rPr>
          <w:noProof/>
        </w:rPr>
        <w:fldChar w:fldCharType="separate"/>
      </w:r>
      <w:r w:rsidR="007D7CA7">
        <w:rPr>
          <w:noProof/>
        </w:rPr>
        <w:t>19</w:t>
      </w:r>
      <w:r>
        <w:rPr>
          <w:noProof/>
        </w:rPr>
        <w:fldChar w:fldCharType="end"/>
      </w:r>
    </w:p>
    <w:p w14:paraId="0249B159" w14:textId="77777777" w:rsidR="007E1F1A" w:rsidRDefault="007E1F1A">
      <w:pPr>
        <w:pStyle w:val="TOC3"/>
        <w:tabs>
          <w:tab w:val="left" w:pos="1080"/>
          <w:tab w:val="right" w:leader="dot" w:pos="9350"/>
        </w:tabs>
        <w:rPr>
          <w:rFonts w:eastAsiaTheme="minorEastAsia" w:cstheme="minorBidi"/>
          <w:noProof/>
          <w:kern w:val="0"/>
          <w:sz w:val="22"/>
          <w:szCs w:val="22"/>
        </w:rPr>
      </w:pPr>
      <w:r>
        <w:rPr>
          <w:noProof/>
        </w:rPr>
        <w:t>4.1.1</w:t>
      </w:r>
      <w:r>
        <w:rPr>
          <w:rFonts w:eastAsiaTheme="minorEastAsia" w:cstheme="minorBidi"/>
          <w:noProof/>
          <w:kern w:val="0"/>
          <w:sz w:val="22"/>
          <w:szCs w:val="22"/>
        </w:rPr>
        <w:tab/>
      </w:r>
      <w:r>
        <w:rPr>
          <w:noProof/>
        </w:rPr>
        <w:t>Model Outputs</w:t>
      </w:r>
      <w:r>
        <w:rPr>
          <w:noProof/>
        </w:rPr>
        <w:tab/>
      </w:r>
      <w:r>
        <w:rPr>
          <w:noProof/>
        </w:rPr>
        <w:fldChar w:fldCharType="begin"/>
      </w:r>
      <w:r>
        <w:rPr>
          <w:noProof/>
        </w:rPr>
        <w:instrText xml:space="preserve"> PAGEREF _Toc112244140 \h </w:instrText>
      </w:r>
      <w:r>
        <w:rPr>
          <w:noProof/>
        </w:rPr>
      </w:r>
      <w:r>
        <w:rPr>
          <w:noProof/>
        </w:rPr>
        <w:fldChar w:fldCharType="separate"/>
      </w:r>
      <w:r w:rsidR="007D7CA7">
        <w:rPr>
          <w:noProof/>
        </w:rPr>
        <w:t>19</w:t>
      </w:r>
      <w:r>
        <w:rPr>
          <w:noProof/>
        </w:rPr>
        <w:fldChar w:fldCharType="end"/>
      </w:r>
    </w:p>
    <w:p w14:paraId="602558FB" w14:textId="77777777" w:rsidR="007E1F1A" w:rsidRDefault="007E1F1A">
      <w:pPr>
        <w:pStyle w:val="TOC3"/>
        <w:tabs>
          <w:tab w:val="left" w:pos="1080"/>
          <w:tab w:val="right" w:leader="dot" w:pos="9350"/>
        </w:tabs>
        <w:rPr>
          <w:rFonts w:eastAsiaTheme="minorEastAsia" w:cstheme="minorBidi"/>
          <w:noProof/>
          <w:kern w:val="0"/>
          <w:sz w:val="22"/>
          <w:szCs w:val="22"/>
        </w:rPr>
      </w:pPr>
      <w:r>
        <w:rPr>
          <w:noProof/>
        </w:rPr>
        <w:t>4.1.2</w:t>
      </w:r>
      <w:r>
        <w:rPr>
          <w:rFonts w:eastAsiaTheme="minorEastAsia" w:cstheme="minorBidi"/>
          <w:noProof/>
          <w:kern w:val="0"/>
          <w:sz w:val="22"/>
          <w:szCs w:val="22"/>
        </w:rPr>
        <w:tab/>
      </w:r>
      <w:r>
        <w:rPr>
          <w:noProof/>
        </w:rPr>
        <w:t>Methodology</w:t>
      </w:r>
      <w:r>
        <w:rPr>
          <w:noProof/>
        </w:rPr>
        <w:tab/>
      </w:r>
      <w:r>
        <w:rPr>
          <w:noProof/>
        </w:rPr>
        <w:fldChar w:fldCharType="begin"/>
      </w:r>
      <w:r>
        <w:rPr>
          <w:noProof/>
        </w:rPr>
        <w:instrText xml:space="preserve"> PAGEREF _Toc112244141 \h </w:instrText>
      </w:r>
      <w:r>
        <w:rPr>
          <w:noProof/>
        </w:rPr>
      </w:r>
      <w:r>
        <w:rPr>
          <w:noProof/>
        </w:rPr>
        <w:fldChar w:fldCharType="separate"/>
      </w:r>
      <w:r w:rsidR="007D7CA7">
        <w:rPr>
          <w:noProof/>
        </w:rPr>
        <w:t>19</w:t>
      </w:r>
      <w:r>
        <w:rPr>
          <w:noProof/>
        </w:rPr>
        <w:fldChar w:fldCharType="end"/>
      </w:r>
    </w:p>
    <w:p w14:paraId="13D3881F" w14:textId="77777777" w:rsidR="007E1F1A" w:rsidRDefault="007E1F1A">
      <w:pPr>
        <w:pStyle w:val="TOC3"/>
        <w:tabs>
          <w:tab w:val="left" w:pos="1080"/>
          <w:tab w:val="right" w:leader="dot" w:pos="9350"/>
        </w:tabs>
        <w:rPr>
          <w:rFonts w:eastAsiaTheme="minorEastAsia" w:cstheme="minorBidi"/>
          <w:noProof/>
          <w:kern w:val="0"/>
          <w:sz w:val="22"/>
          <w:szCs w:val="22"/>
        </w:rPr>
      </w:pPr>
      <w:r>
        <w:rPr>
          <w:noProof/>
        </w:rPr>
        <w:t>4.1.3</w:t>
      </w:r>
      <w:r>
        <w:rPr>
          <w:rFonts w:eastAsiaTheme="minorEastAsia" w:cstheme="minorBidi"/>
          <w:noProof/>
          <w:kern w:val="0"/>
          <w:sz w:val="22"/>
          <w:szCs w:val="22"/>
        </w:rPr>
        <w:tab/>
      </w:r>
      <w:r>
        <w:rPr>
          <w:noProof/>
        </w:rPr>
        <w:t>BLE Flood Hazard Layer</w:t>
      </w:r>
      <w:r>
        <w:rPr>
          <w:noProof/>
        </w:rPr>
        <w:tab/>
      </w:r>
      <w:r>
        <w:rPr>
          <w:noProof/>
        </w:rPr>
        <w:fldChar w:fldCharType="begin"/>
      </w:r>
      <w:r>
        <w:rPr>
          <w:noProof/>
        </w:rPr>
        <w:instrText xml:space="preserve"> PAGEREF _Toc112244142 \h </w:instrText>
      </w:r>
      <w:r>
        <w:rPr>
          <w:noProof/>
        </w:rPr>
      </w:r>
      <w:r>
        <w:rPr>
          <w:noProof/>
        </w:rPr>
        <w:fldChar w:fldCharType="separate"/>
      </w:r>
      <w:r w:rsidR="007D7CA7">
        <w:rPr>
          <w:noProof/>
        </w:rPr>
        <w:t>20</w:t>
      </w:r>
      <w:r>
        <w:rPr>
          <w:noProof/>
        </w:rPr>
        <w:fldChar w:fldCharType="end"/>
      </w:r>
    </w:p>
    <w:p w14:paraId="3519D186" w14:textId="77777777" w:rsidR="007E1F1A" w:rsidRDefault="007E1F1A">
      <w:pPr>
        <w:pStyle w:val="TOC3"/>
        <w:tabs>
          <w:tab w:val="left" w:pos="1080"/>
          <w:tab w:val="right" w:leader="dot" w:pos="9350"/>
        </w:tabs>
        <w:rPr>
          <w:rFonts w:eastAsiaTheme="minorEastAsia" w:cstheme="minorBidi"/>
          <w:noProof/>
          <w:kern w:val="0"/>
          <w:sz w:val="22"/>
          <w:szCs w:val="22"/>
        </w:rPr>
      </w:pPr>
      <w:r>
        <w:rPr>
          <w:noProof/>
        </w:rPr>
        <w:t>4.1.4</w:t>
      </w:r>
      <w:r>
        <w:rPr>
          <w:rFonts w:eastAsiaTheme="minorEastAsia" w:cstheme="minorBidi"/>
          <w:noProof/>
          <w:kern w:val="0"/>
          <w:sz w:val="22"/>
          <w:szCs w:val="22"/>
        </w:rPr>
        <w:tab/>
      </w:r>
      <w:r>
        <w:rPr>
          <w:noProof/>
        </w:rPr>
        <w:t>Water Surface and Depth Grids</w:t>
      </w:r>
      <w:r>
        <w:rPr>
          <w:noProof/>
        </w:rPr>
        <w:tab/>
      </w:r>
      <w:r>
        <w:rPr>
          <w:noProof/>
        </w:rPr>
        <w:fldChar w:fldCharType="begin"/>
      </w:r>
      <w:r>
        <w:rPr>
          <w:noProof/>
        </w:rPr>
        <w:instrText xml:space="preserve"> PAGEREF _Toc112244143 \h </w:instrText>
      </w:r>
      <w:r>
        <w:rPr>
          <w:noProof/>
        </w:rPr>
      </w:r>
      <w:r>
        <w:rPr>
          <w:noProof/>
        </w:rPr>
        <w:fldChar w:fldCharType="separate"/>
      </w:r>
      <w:r w:rsidR="007D7CA7">
        <w:rPr>
          <w:noProof/>
        </w:rPr>
        <w:t>20</w:t>
      </w:r>
      <w:r>
        <w:rPr>
          <w:noProof/>
        </w:rPr>
        <w:fldChar w:fldCharType="end"/>
      </w:r>
    </w:p>
    <w:p w14:paraId="3A87C75D" w14:textId="77777777" w:rsidR="007E1F1A" w:rsidRDefault="007E1F1A">
      <w:pPr>
        <w:pStyle w:val="TOC3"/>
        <w:tabs>
          <w:tab w:val="left" w:pos="1080"/>
          <w:tab w:val="right" w:leader="dot" w:pos="9350"/>
        </w:tabs>
        <w:rPr>
          <w:rFonts w:eastAsiaTheme="minorEastAsia" w:cstheme="minorBidi"/>
          <w:noProof/>
          <w:kern w:val="0"/>
          <w:sz w:val="22"/>
          <w:szCs w:val="22"/>
        </w:rPr>
      </w:pPr>
      <w:r>
        <w:rPr>
          <w:noProof/>
        </w:rPr>
        <w:t>4.1.5</w:t>
      </w:r>
      <w:r>
        <w:rPr>
          <w:rFonts w:eastAsiaTheme="minorEastAsia" w:cstheme="minorBidi"/>
          <w:noProof/>
          <w:kern w:val="0"/>
          <w:sz w:val="22"/>
          <w:szCs w:val="22"/>
        </w:rPr>
        <w:tab/>
      </w:r>
      <w:r>
        <w:rPr>
          <w:noProof/>
        </w:rPr>
        <w:t>Additional 1-Percent Features</w:t>
      </w:r>
      <w:r>
        <w:rPr>
          <w:noProof/>
        </w:rPr>
        <w:tab/>
      </w:r>
      <w:r>
        <w:rPr>
          <w:noProof/>
        </w:rPr>
        <w:fldChar w:fldCharType="begin"/>
      </w:r>
      <w:r>
        <w:rPr>
          <w:noProof/>
        </w:rPr>
        <w:instrText xml:space="preserve"> PAGEREF _Toc112244144 \h </w:instrText>
      </w:r>
      <w:r>
        <w:rPr>
          <w:noProof/>
        </w:rPr>
      </w:r>
      <w:r>
        <w:rPr>
          <w:noProof/>
        </w:rPr>
        <w:fldChar w:fldCharType="separate"/>
      </w:r>
      <w:r w:rsidR="007D7CA7">
        <w:rPr>
          <w:noProof/>
        </w:rPr>
        <w:t>20</w:t>
      </w:r>
      <w:r>
        <w:rPr>
          <w:noProof/>
        </w:rPr>
        <w:fldChar w:fldCharType="end"/>
      </w:r>
    </w:p>
    <w:p w14:paraId="05F811C8" w14:textId="77777777" w:rsidR="007E1F1A" w:rsidRDefault="007E1F1A">
      <w:pPr>
        <w:pStyle w:val="TOC2"/>
        <w:tabs>
          <w:tab w:val="left" w:pos="720"/>
          <w:tab w:val="right" w:leader="dot" w:pos="9350"/>
        </w:tabs>
        <w:rPr>
          <w:rFonts w:eastAsiaTheme="minorEastAsia" w:cstheme="minorBidi"/>
          <w:i w:val="0"/>
          <w:iCs w:val="0"/>
          <w:noProof/>
          <w:kern w:val="0"/>
          <w:sz w:val="22"/>
          <w:szCs w:val="22"/>
        </w:rPr>
      </w:pPr>
      <w:r>
        <w:rPr>
          <w:noProof/>
        </w:rPr>
        <w:t>4.2</w:t>
      </w:r>
      <w:r>
        <w:rPr>
          <w:rFonts w:eastAsiaTheme="minorEastAsia" w:cstheme="minorBidi"/>
          <w:i w:val="0"/>
          <w:iCs w:val="0"/>
          <w:noProof/>
          <w:kern w:val="0"/>
          <w:sz w:val="22"/>
          <w:szCs w:val="22"/>
        </w:rPr>
        <w:tab/>
      </w:r>
      <w:r>
        <w:rPr>
          <w:noProof/>
        </w:rPr>
        <w:t>Validation of Effective Zone A SFHA</w:t>
      </w:r>
      <w:r>
        <w:rPr>
          <w:noProof/>
        </w:rPr>
        <w:tab/>
      </w:r>
      <w:r>
        <w:rPr>
          <w:noProof/>
        </w:rPr>
        <w:fldChar w:fldCharType="begin"/>
      </w:r>
      <w:r>
        <w:rPr>
          <w:noProof/>
        </w:rPr>
        <w:instrText xml:space="preserve"> PAGEREF _Toc112244145 \h </w:instrText>
      </w:r>
      <w:r>
        <w:rPr>
          <w:noProof/>
        </w:rPr>
      </w:r>
      <w:r>
        <w:rPr>
          <w:noProof/>
        </w:rPr>
        <w:fldChar w:fldCharType="separate"/>
      </w:r>
      <w:r w:rsidR="007D7CA7">
        <w:rPr>
          <w:noProof/>
        </w:rPr>
        <w:t>20</w:t>
      </w:r>
      <w:r>
        <w:rPr>
          <w:noProof/>
        </w:rPr>
        <w:fldChar w:fldCharType="end"/>
      </w:r>
    </w:p>
    <w:p w14:paraId="18CED4B7" w14:textId="77777777" w:rsidR="007E1F1A" w:rsidRDefault="007E1F1A">
      <w:pPr>
        <w:pStyle w:val="TOC3"/>
        <w:tabs>
          <w:tab w:val="left" w:pos="1080"/>
          <w:tab w:val="right" w:leader="dot" w:pos="9350"/>
        </w:tabs>
        <w:rPr>
          <w:rFonts w:eastAsiaTheme="minorEastAsia" w:cstheme="minorBidi"/>
          <w:noProof/>
          <w:kern w:val="0"/>
          <w:sz w:val="22"/>
          <w:szCs w:val="22"/>
        </w:rPr>
      </w:pPr>
      <w:r>
        <w:rPr>
          <w:noProof/>
        </w:rPr>
        <w:t>4.2.1</w:t>
      </w:r>
      <w:r>
        <w:rPr>
          <w:rFonts w:eastAsiaTheme="minorEastAsia" w:cstheme="minorBidi"/>
          <w:noProof/>
          <w:kern w:val="0"/>
          <w:sz w:val="22"/>
          <w:szCs w:val="22"/>
        </w:rPr>
        <w:tab/>
      </w:r>
      <w:r>
        <w:rPr>
          <w:noProof/>
        </w:rPr>
        <w:t>Intial Assessment A1 – Significant Topography Update Check</w:t>
      </w:r>
      <w:r>
        <w:rPr>
          <w:noProof/>
        </w:rPr>
        <w:tab/>
      </w:r>
      <w:r>
        <w:rPr>
          <w:noProof/>
        </w:rPr>
        <w:fldChar w:fldCharType="begin"/>
      </w:r>
      <w:r>
        <w:rPr>
          <w:noProof/>
        </w:rPr>
        <w:instrText xml:space="preserve"> PAGEREF _Toc112244146 \h </w:instrText>
      </w:r>
      <w:r>
        <w:rPr>
          <w:noProof/>
        </w:rPr>
      </w:r>
      <w:r>
        <w:rPr>
          <w:noProof/>
        </w:rPr>
        <w:fldChar w:fldCharType="separate"/>
      </w:r>
      <w:r w:rsidR="007D7CA7">
        <w:rPr>
          <w:noProof/>
        </w:rPr>
        <w:t>20</w:t>
      </w:r>
      <w:r>
        <w:rPr>
          <w:noProof/>
        </w:rPr>
        <w:fldChar w:fldCharType="end"/>
      </w:r>
    </w:p>
    <w:p w14:paraId="51C326A7" w14:textId="77777777" w:rsidR="007E1F1A" w:rsidRDefault="007E1F1A">
      <w:pPr>
        <w:pStyle w:val="TOC3"/>
        <w:tabs>
          <w:tab w:val="left" w:pos="1080"/>
          <w:tab w:val="right" w:leader="dot" w:pos="9350"/>
        </w:tabs>
        <w:rPr>
          <w:rFonts w:eastAsiaTheme="minorEastAsia" w:cstheme="minorBidi"/>
          <w:noProof/>
          <w:kern w:val="0"/>
          <w:sz w:val="22"/>
          <w:szCs w:val="22"/>
        </w:rPr>
      </w:pPr>
      <w:r>
        <w:rPr>
          <w:noProof/>
        </w:rPr>
        <w:t>4.2.2</w:t>
      </w:r>
      <w:r>
        <w:rPr>
          <w:rFonts w:eastAsiaTheme="minorEastAsia" w:cstheme="minorBidi"/>
          <w:noProof/>
          <w:kern w:val="0"/>
          <w:sz w:val="22"/>
          <w:szCs w:val="22"/>
        </w:rPr>
        <w:tab/>
      </w:r>
      <w:r>
        <w:rPr>
          <w:noProof/>
        </w:rPr>
        <w:t>Initial Assessment A2 – Check for Significant Hydrology Changes</w:t>
      </w:r>
      <w:r>
        <w:rPr>
          <w:noProof/>
        </w:rPr>
        <w:tab/>
      </w:r>
      <w:r>
        <w:rPr>
          <w:noProof/>
        </w:rPr>
        <w:fldChar w:fldCharType="begin"/>
      </w:r>
      <w:r>
        <w:rPr>
          <w:noProof/>
        </w:rPr>
        <w:instrText xml:space="preserve"> PAGEREF _Toc112244147 \h </w:instrText>
      </w:r>
      <w:r>
        <w:rPr>
          <w:noProof/>
        </w:rPr>
      </w:r>
      <w:r>
        <w:rPr>
          <w:noProof/>
        </w:rPr>
        <w:fldChar w:fldCharType="separate"/>
      </w:r>
      <w:r w:rsidR="007D7CA7">
        <w:rPr>
          <w:noProof/>
        </w:rPr>
        <w:t>20</w:t>
      </w:r>
      <w:r>
        <w:rPr>
          <w:noProof/>
        </w:rPr>
        <w:fldChar w:fldCharType="end"/>
      </w:r>
    </w:p>
    <w:p w14:paraId="46AEBB05" w14:textId="77777777" w:rsidR="007E1F1A" w:rsidRDefault="007E1F1A">
      <w:pPr>
        <w:pStyle w:val="TOC3"/>
        <w:tabs>
          <w:tab w:val="left" w:pos="1080"/>
          <w:tab w:val="right" w:leader="dot" w:pos="9350"/>
        </w:tabs>
        <w:rPr>
          <w:rFonts w:eastAsiaTheme="minorEastAsia" w:cstheme="minorBidi"/>
          <w:noProof/>
          <w:kern w:val="0"/>
          <w:sz w:val="22"/>
          <w:szCs w:val="22"/>
        </w:rPr>
      </w:pPr>
      <w:r>
        <w:rPr>
          <w:noProof/>
        </w:rPr>
        <w:t>4.2.3</w:t>
      </w:r>
      <w:r>
        <w:rPr>
          <w:rFonts w:eastAsiaTheme="minorEastAsia" w:cstheme="minorBidi"/>
          <w:noProof/>
          <w:kern w:val="0"/>
          <w:sz w:val="22"/>
          <w:szCs w:val="22"/>
        </w:rPr>
        <w:tab/>
      </w:r>
      <w:r>
        <w:rPr>
          <w:noProof/>
        </w:rPr>
        <w:t>Initial Assessment A3 – Check for Significant Development</w:t>
      </w:r>
      <w:r>
        <w:rPr>
          <w:noProof/>
        </w:rPr>
        <w:tab/>
      </w:r>
      <w:r>
        <w:rPr>
          <w:noProof/>
        </w:rPr>
        <w:fldChar w:fldCharType="begin"/>
      </w:r>
      <w:r>
        <w:rPr>
          <w:noProof/>
        </w:rPr>
        <w:instrText xml:space="preserve"> PAGEREF _Toc112244148 \h </w:instrText>
      </w:r>
      <w:r>
        <w:rPr>
          <w:noProof/>
        </w:rPr>
      </w:r>
      <w:r>
        <w:rPr>
          <w:noProof/>
        </w:rPr>
        <w:fldChar w:fldCharType="separate"/>
      </w:r>
      <w:r w:rsidR="007D7CA7">
        <w:rPr>
          <w:noProof/>
        </w:rPr>
        <w:t>21</w:t>
      </w:r>
      <w:r>
        <w:rPr>
          <w:noProof/>
        </w:rPr>
        <w:fldChar w:fldCharType="end"/>
      </w:r>
    </w:p>
    <w:p w14:paraId="38498D4D" w14:textId="77777777" w:rsidR="007E1F1A" w:rsidRDefault="007E1F1A">
      <w:pPr>
        <w:pStyle w:val="TOC3"/>
        <w:tabs>
          <w:tab w:val="left" w:pos="1080"/>
          <w:tab w:val="right" w:leader="dot" w:pos="9350"/>
        </w:tabs>
        <w:rPr>
          <w:rFonts w:eastAsiaTheme="minorEastAsia" w:cstheme="minorBidi"/>
          <w:noProof/>
          <w:kern w:val="0"/>
          <w:sz w:val="22"/>
          <w:szCs w:val="22"/>
        </w:rPr>
      </w:pPr>
      <w:r>
        <w:rPr>
          <w:noProof/>
        </w:rPr>
        <w:t>4.2.4</w:t>
      </w:r>
      <w:r>
        <w:rPr>
          <w:rFonts w:eastAsiaTheme="minorEastAsia" w:cstheme="minorBidi"/>
          <w:noProof/>
          <w:kern w:val="0"/>
          <w:sz w:val="22"/>
          <w:szCs w:val="22"/>
        </w:rPr>
        <w:tab/>
      </w:r>
      <w:r>
        <w:rPr>
          <w:noProof/>
        </w:rPr>
        <w:t>Validation Check A4 – Check of Studies Backed by Technical Data</w:t>
      </w:r>
      <w:r>
        <w:rPr>
          <w:noProof/>
        </w:rPr>
        <w:tab/>
      </w:r>
      <w:r>
        <w:rPr>
          <w:noProof/>
        </w:rPr>
        <w:fldChar w:fldCharType="begin"/>
      </w:r>
      <w:r>
        <w:rPr>
          <w:noProof/>
        </w:rPr>
        <w:instrText xml:space="preserve"> PAGEREF _Toc112244149 \h </w:instrText>
      </w:r>
      <w:r>
        <w:rPr>
          <w:noProof/>
        </w:rPr>
      </w:r>
      <w:r>
        <w:rPr>
          <w:noProof/>
        </w:rPr>
        <w:fldChar w:fldCharType="separate"/>
      </w:r>
      <w:r w:rsidR="007D7CA7">
        <w:rPr>
          <w:noProof/>
        </w:rPr>
        <w:t>21</w:t>
      </w:r>
      <w:r>
        <w:rPr>
          <w:noProof/>
        </w:rPr>
        <w:fldChar w:fldCharType="end"/>
      </w:r>
    </w:p>
    <w:p w14:paraId="78BE9EAF" w14:textId="77777777" w:rsidR="007E1F1A" w:rsidRDefault="007E1F1A">
      <w:pPr>
        <w:pStyle w:val="TOC3"/>
        <w:tabs>
          <w:tab w:val="left" w:pos="1080"/>
          <w:tab w:val="right" w:leader="dot" w:pos="9350"/>
        </w:tabs>
        <w:rPr>
          <w:rFonts w:eastAsiaTheme="minorEastAsia" w:cstheme="minorBidi"/>
          <w:noProof/>
          <w:kern w:val="0"/>
          <w:sz w:val="22"/>
          <w:szCs w:val="22"/>
        </w:rPr>
      </w:pPr>
      <w:r>
        <w:rPr>
          <w:noProof/>
        </w:rPr>
        <w:t>4.2.5</w:t>
      </w:r>
      <w:r>
        <w:rPr>
          <w:rFonts w:eastAsiaTheme="minorEastAsia" w:cstheme="minorBidi"/>
          <w:noProof/>
          <w:kern w:val="0"/>
          <w:sz w:val="22"/>
          <w:szCs w:val="22"/>
        </w:rPr>
        <w:tab/>
      </w:r>
      <w:r>
        <w:rPr>
          <w:noProof/>
        </w:rPr>
        <w:t>Validation Check A5 – Comparison of BLE and Effective Zone A</w:t>
      </w:r>
      <w:r>
        <w:rPr>
          <w:noProof/>
        </w:rPr>
        <w:tab/>
      </w:r>
      <w:r>
        <w:rPr>
          <w:noProof/>
        </w:rPr>
        <w:fldChar w:fldCharType="begin"/>
      </w:r>
      <w:r>
        <w:rPr>
          <w:noProof/>
        </w:rPr>
        <w:instrText xml:space="preserve"> PAGEREF _Toc112244150 \h </w:instrText>
      </w:r>
      <w:r>
        <w:rPr>
          <w:noProof/>
        </w:rPr>
      </w:r>
      <w:r>
        <w:rPr>
          <w:noProof/>
        </w:rPr>
        <w:fldChar w:fldCharType="separate"/>
      </w:r>
      <w:r w:rsidR="007D7CA7">
        <w:rPr>
          <w:noProof/>
        </w:rPr>
        <w:t>21</w:t>
      </w:r>
      <w:r>
        <w:rPr>
          <w:noProof/>
        </w:rPr>
        <w:fldChar w:fldCharType="end"/>
      </w:r>
    </w:p>
    <w:p w14:paraId="43DA8600" w14:textId="77777777" w:rsidR="007E1F1A" w:rsidRDefault="007E1F1A">
      <w:pPr>
        <w:pStyle w:val="TOC3"/>
        <w:tabs>
          <w:tab w:val="left" w:pos="1080"/>
          <w:tab w:val="right" w:leader="dot" w:pos="9350"/>
        </w:tabs>
        <w:rPr>
          <w:rFonts w:eastAsiaTheme="minorEastAsia" w:cstheme="minorBidi"/>
          <w:noProof/>
          <w:kern w:val="0"/>
          <w:sz w:val="22"/>
          <w:szCs w:val="22"/>
        </w:rPr>
      </w:pPr>
      <w:r>
        <w:rPr>
          <w:noProof/>
        </w:rPr>
        <w:t>4.2.6</w:t>
      </w:r>
      <w:r>
        <w:rPr>
          <w:rFonts w:eastAsiaTheme="minorEastAsia" w:cstheme="minorBidi"/>
          <w:noProof/>
          <w:kern w:val="0"/>
          <w:sz w:val="22"/>
          <w:szCs w:val="22"/>
        </w:rPr>
        <w:tab/>
      </w:r>
      <w:r>
        <w:rPr>
          <w:noProof/>
        </w:rPr>
        <w:t>Validation Results</w:t>
      </w:r>
      <w:r>
        <w:rPr>
          <w:noProof/>
        </w:rPr>
        <w:tab/>
      </w:r>
      <w:r>
        <w:rPr>
          <w:noProof/>
        </w:rPr>
        <w:fldChar w:fldCharType="begin"/>
      </w:r>
      <w:r>
        <w:rPr>
          <w:noProof/>
        </w:rPr>
        <w:instrText xml:space="preserve"> PAGEREF _Toc112244151 \h </w:instrText>
      </w:r>
      <w:r>
        <w:rPr>
          <w:noProof/>
        </w:rPr>
      </w:r>
      <w:r>
        <w:rPr>
          <w:noProof/>
        </w:rPr>
        <w:fldChar w:fldCharType="separate"/>
      </w:r>
      <w:r w:rsidR="007D7CA7">
        <w:rPr>
          <w:noProof/>
        </w:rPr>
        <w:t>22</w:t>
      </w:r>
      <w:r>
        <w:rPr>
          <w:noProof/>
        </w:rPr>
        <w:fldChar w:fldCharType="end"/>
      </w:r>
    </w:p>
    <w:p w14:paraId="31539387" w14:textId="77777777" w:rsidR="007E1F1A" w:rsidRDefault="007E1F1A">
      <w:pPr>
        <w:pStyle w:val="TOC2"/>
        <w:tabs>
          <w:tab w:val="left" w:pos="720"/>
          <w:tab w:val="right" w:leader="dot" w:pos="9350"/>
        </w:tabs>
        <w:rPr>
          <w:rFonts w:eastAsiaTheme="minorEastAsia" w:cstheme="minorBidi"/>
          <w:i w:val="0"/>
          <w:iCs w:val="0"/>
          <w:noProof/>
          <w:kern w:val="0"/>
          <w:sz w:val="22"/>
          <w:szCs w:val="22"/>
        </w:rPr>
      </w:pPr>
      <w:r>
        <w:rPr>
          <w:noProof/>
        </w:rPr>
        <w:t>4.3</w:t>
      </w:r>
      <w:r>
        <w:rPr>
          <w:rFonts w:eastAsiaTheme="minorEastAsia" w:cstheme="minorBidi"/>
          <w:i w:val="0"/>
          <w:iCs w:val="0"/>
          <w:noProof/>
          <w:kern w:val="0"/>
          <w:sz w:val="22"/>
          <w:szCs w:val="22"/>
        </w:rPr>
        <w:tab/>
      </w:r>
      <w:r>
        <w:rPr>
          <w:noProof/>
        </w:rPr>
        <w:t>Flood Risk Analysis</w:t>
      </w:r>
      <w:r>
        <w:rPr>
          <w:noProof/>
        </w:rPr>
        <w:tab/>
      </w:r>
      <w:r>
        <w:rPr>
          <w:noProof/>
        </w:rPr>
        <w:fldChar w:fldCharType="begin"/>
      </w:r>
      <w:r>
        <w:rPr>
          <w:noProof/>
        </w:rPr>
        <w:instrText xml:space="preserve"> PAGEREF _Toc112244152 \h </w:instrText>
      </w:r>
      <w:r>
        <w:rPr>
          <w:noProof/>
        </w:rPr>
      </w:r>
      <w:r>
        <w:rPr>
          <w:noProof/>
        </w:rPr>
        <w:fldChar w:fldCharType="separate"/>
      </w:r>
      <w:r w:rsidR="007D7CA7">
        <w:rPr>
          <w:noProof/>
        </w:rPr>
        <w:t>24</w:t>
      </w:r>
      <w:r>
        <w:rPr>
          <w:noProof/>
        </w:rPr>
        <w:fldChar w:fldCharType="end"/>
      </w:r>
    </w:p>
    <w:p w14:paraId="6E4F809A" w14:textId="77777777" w:rsidR="007E1F1A" w:rsidRDefault="007E1F1A">
      <w:pPr>
        <w:pStyle w:val="TOC1"/>
        <w:tabs>
          <w:tab w:val="left" w:pos="540"/>
          <w:tab w:val="right" w:leader="dot" w:pos="9350"/>
        </w:tabs>
        <w:rPr>
          <w:rFonts w:eastAsiaTheme="minorEastAsia" w:cstheme="minorBidi"/>
          <w:b w:val="0"/>
          <w:bCs w:val="0"/>
          <w:noProof/>
          <w:kern w:val="0"/>
          <w:sz w:val="22"/>
          <w:szCs w:val="22"/>
        </w:rPr>
      </w:pPr>
      <w:r>
        <w:rPr>
          <w:noProof/>
        </w:rPr>
        <w:t>5.</w:t>
      </w:r>
      <w:r>
        <w:rPr>
          <w:rFonts w:eastAsiaTheme="minorEastAsia" w:cstheme="minorBidi"/>
          <w:b w:val="0"/>
          <w:bCs w:val="0"/>
          <w:noProof/>
          <w:kern w:val="0"/>
          <w:sz w:val="22"/>
          <w:szCs w:val="22"/>
        </w:rPr>
        <w:tab/>
      </w:r>
      <w:r>
        <w:rPr>
          <w:noProof/>
        </w:rPr>
        <w:t>References</w:t>
      </w:r>
      <w:r>
        <w:rPr>
          <w:noProof/>
        </w:rPr>
        <w:tab/>
      </w:r>
      <w:r>
        <w:rPr>
          <w:noProof/>
        </w:rPr>
        <w:fldChar w:fldCharType="begin"/>
      </w:r>
      <w:r>
        <w:rPr>
          <w:noProof/>
        </w:rPr>
        <w:instrText xml:space="preserve"> PAGEREF _Toc112244153 \h </w:instrText>
      </w:r>
      <w:r>
        <w:rPr>
          <w:noProof/>
        </w:rPr>
      </w:r>
      <w:r>
        <w:rPr>
          <w:noProof/>
        </w:rPr>
        <w:fldChar w:fldCharType="separate"/>
      </w:r>
      <w:r w:rsidR="007D7CA7">
        <w:rPr>
          <w:noProof/>
        </w:rPr>
        <w:t>26</w:t>
      </w:r>
      <w:r>
        <w:rPr>
          <w:noProof/>
        </w:rPr>
        <w:fldChar w:fldCharType="end"/>
      </w:r>
    </w:p>
    <w:p w14:paraId="7B05769F" w14:textId="77777777" w:rsidR="007E1F1A" w:rsidRDefault="007E1F1A">
      <w:pPr>
        <w:pStyle w:val="TOC1"/>
        <w:tabs>
          <w:tab w:val="right" w:leader="dot" w:pos="9350"/>
        </w:tabs>
        <w:rPr>
          <w:rFonts w:eastAsiaTheme="minorEastAsia" w:cstheme="minorBidi"/>
          <w:b w:val="0"/>
          <w:bCs w:val="0"/>
          <w:noProof/>
          <w:kern w:val="0"/>
          <w:sz w:val="22"/>
          <w:szCs w:val="22"/>
        </w:rPr>
      </w:pPr>
      <w:r>
        <w:rPr>
          <w:noProof/>
        </w:rPr>
        <w:t>Appendix A BLE Map</w:t>
      </w:r>
      <w:r>
        <w:rPr>
          <w:noProof/>
        </w:rPr>
        <w:tab/>
      </w:r>
      <w:r>
        <w:rPr>
          <w:noProof/>
        </w:rPr>
        <w:fldChar w:fldCharType="begin"/>
      </w:r>
      <w:r>
        <w:rPr>
          <w:noProof/>
        </w:rPr>
        <w:instrText xml:space="preserve"> PAGEREF _Toc112244154 \h </w:instrText>
      </w:r>
      <w:r>
        <w:rPr>
          <w:noProof/>
        </w:rPr>
      </w:r>
      <w:r>
        <w:rPr>
          <w:noProof/>
        </w:rPr>
        <w:fldChar w:fldCharType="separate"/>
      </w:r>
      <w:r w:rsidR="007D7CA7">
        <w:rPr>
          <w:noProof/>
        </w:rPr>
        <w:t>27</w:t>
      </w:r>
      <w:r>
        <w:rPr>
          <w:noProof/>
        </w:rPr>
        <w:fldChar w:fldCharType="end"/>
      </w:r>
    </w:p>
    <w:p w14:paraId="082E9B22" w14:textId="3FCD08B9" w:rsidR="003964F2" w:rsidRDefault="00265A9E" w:rsidP="003964F2">
      <w:pPr>
        <w:pStyle w:val="BodyText"/>
        <w:rPr>
          <w:noProof/>
        </w:rPr>
      </w:pPr>
      <w:r>
        <w:rPr>
          <w:rFonts w:cstheme="minorHAnsi"/>
          <w:noProof/>
          <w:sz w:val="20"/>
          <w:szCs w:val="20"/>
        </w:rPr>
        <w:fldChar w:fldCharType="end"/>
      </w:r>
    </w:p>
    <w:p w14:paraId="602E29CC" w14:textId="77777777" w:rsidR="002A75EF" w:rsidRDefault="002A75EF">
      <w:pPr>
        <w:tabs>
          <w:tab w:val="clear" w:pos="284"/>
        </w:tabs>
        <w:spacing w:line="240" w:lineRule="auto"/>
        <w:rPr>
          <w:rFonts w:asciiTheme="majorHAnsi" w:eastAsiaTheme="majorEastAsia" w:hAnsiTheme="majorHAnsi" w:cstheme="majorBidi"/>
          <w:b/>
          <w:bCs/>
          <w:noProof/>
          <w:color w:val="00B5E2" w:themeColor="accent1"/>
          <w:sz w:val="28"/>
          <w:szCs w:val="28"/>
        </w:rPr>
      </w:pPr>
      <w:bookmarkStart w:id="14" w:name="Text_Figures"/>
      <w:r>
        <w:rPr>
          <w:noProof/>
        </w:rPr>
        <w:br w:type="page"/>
      </w:r>
    </w:p>
    <w:p w14:paraId="7F0211D5" w14:textId="134F3197" w:rsidR="003964F2" w:rsidRDefault="00BF3F75" w:rsidP="00CA2219">
      <w:pPr>
        <w:pStyle w:val="TOCHeading"/>
        <w:rPr>
          <w:noProof/>
        </w:rPr>
      </w:pPr>
      <w:r>
        <w:rPr>
          <w:noProof/>
        </w:rPr>
        <w:lastRenderedPageBreak/>
        <w:t xml:space="preserve">List of </w:t>
      </w:r>
      <w:r w:rsidR="003964F2">
        <w:rPr>
          <w:noProof/>
        </w:rPr>
        <w:t>Figures</w:t>
      </w:r>
      <w:bookmarkEnd w:id="14"/>
    </w:p>
    <w:p w14:paraId="53D61F09" w14:textId="77777777" w:rsidR="007E1F1A" w:rsidRDefault="0063518A">
      <w:pPr>
        <w:pStyle w:val="TableofFigures"/>
        <w:rPr>
          <w:rFonts w:eastAsiaTheme="minorEastAsia"/>
          <w:noProof/>
          <w:kern w:val="0"/>
          <w:sz w:val="22"/>
          <w:szCs w:val="22"/>
        </w:rPr>
      </w:pPr>
      <w:r>
        <w:rPr>
          <w:noProof/>
        </w:rPr>
        <w:fldChar w:fldCharType="begin"/>
      </w:r>
      <w:r>
        <w:rPr>
          <w:noProof/>
        </w:rPr>
        <w:instrText xml:space="preserve"> TOC \c "Figure" </w:instrText>
      </w:r>
      <w:r>
        <w:rPr>
          <w:noProof/>
        </w:rPr>
        <w:fldChar w:fldCharType="separate"/>
      </w:r>
      <w:r w:rsidR="007E1F1A">
        <w:rPr>
          <w:noProof/>
        </w:rPr>
        <w:t>Figure 1: Cowhouse Watershed</w:t>
      </w:r>
      <w:r w:rsidR="007E1F1A">
        <w:rPr>
          <w:noProof/>
        </w:rPr>
        <w:tab/>
      </w:r>
      <w:r w:rsidR="007E1F1A">
        <w:rPr>
          <w:noProof/>
        </w:rPr>
        <w:fldChar w:fldCharType="begin"/>
      </w:r>
      <w:r w:rsidR="007E1F1A">
        <w:rPr>
          <w:noProof/>
        </w:rPr>
        <w:instrText xml:space="preserve"> PAGEREF _Toc112244155 \h </w:instrText>
      </w:r>
      <w:r w:rsidR="007E1F1A">
        <w:rPr>
          <w:noProof/>
        </w:rPr>
      </w:r>
      <w:r w:rsidR="007E1F1A">
        <w:rPr>
          <w:noProof/>
        </w:rPr>
        <w:fldChar w:fldCharType="separate"/>
      </w:r>
      <w:r w:rsidR="007D7CA7">
        <w:rPr>
          <w:noProof/>
        </w:rPr>
        <w:t>2</w:t>
      </w:r>
      <w:r w:rsidR="007E1F1A">
        <w:rPr>
          <w:noProof/>
        </w:rPr>
        <w:fldChar w:fldCharType="end"/>
      </w:r>
    </w:p>
    <w:p w14:paraId="58717C7A" w14:textId="77777777" w:rsidR="007E1F1A" w:rsidRDefault="007E1F1A">
      <w:pPr>
        <w:pStyle w:val="TableofFigures"/>
        <w:rPr>
          <w:rFonts w:eastAsiaTheme="minorEastAsia"/>
          <w:noProof/>
          <w:kern w:val="0"/>
          <w:sz w:val="22"/>
          <w:szCs w:val="22"/>
        </w:rPr>
      </w:pPr>
      <w:r>
        <w:rPr>
          <w:noProof/>
        </w:rPr>
        <w:t>Figure 2: Cowhouse</w:t>
      </w:r>
      <w:r w:rsidRPr="002D3444">
        <w:rPr>
          <w:noProof/>
          <w:color w:val="FF0000"/>
        </w:rPr>
        <w:t xml:space="preserve"> </w:t>
      </w:r>
      <w:r>
        <w:rPr>
          <w:noProof/>
        </w:rPr>
        <w:t>Watershed BLE Source Terrain Data</w:t>
      </w:r>
      <w:r>
        <w:rPr>
          <w:noProof/>
        </w:rPr>
        <w:tab/>
      </w:r>
      <w:r>
        <w:rPr>
          <w:noProof/>
        </w:rPr>
        <w:fldChar w:fldCharType="begin"/>
      </w:r>
      <w:r>
        <w:rPr>
          <w:noProof/>
        </w:rPr>
        <w:instrText xml:space="preserve"> PAGEREF _Toc112244156 \h </w:instrText>
      </w:r>
      <w:r>
        <w:rPr>
          <w:noProof/>
        </w:rPr>
        <w:fldChar w:fldCharType="separate"/>
      </w:r>
      <w:r w:rsidR="007D7CA7">
        <w:rPr>
          <w:b/>
          <w:bCs/>
          <w:noProof/>
        </w:rPr>
        <w:t>Error! Bookmark not defined.</w:t>
      </w:r>
      <w:r>
        <w:rPr>
          <w:noProof/>
        </w:rPr>
        <w:fldChar w:fldCharType="end"/>
      </w:r>
    </w:p>
    <w:p w14:paraId="14C136DB" w14:textId="77777777" w:rsidR="007E1F1A" w:rsidRDefault="007E1F1A">
      <w:pPr>
        <w:pStyle w:val="TableofFigures"/>
        <w:rPr>
          <w:rFonts w:eastAsiaTheme="minorEastAsia"/>
          <w:noProof/>
          <w:kern w:val="0"/>
          <w:sz w:val="22"/>
          <w:szCs w:val="22"/>
        </w:rPr>
      </w:pPr>
      <w:r>
        <w:rPr>
          <w:noProof/>
        </w:rPr>
        <w:t>Figure 3: RAS6 2D Computational Mesh, and Boundary Conditions and USGS Peak Streamflow Gages</w:t>
      </w:r>
      <w:r>
        <w:rPr>
          <w:noProof/>
        </w:rPr>
        <w:tab/>
      </w:r>
      <w:r>
        <w:rPr>
          <w:noProof/>
        </w:rPr>
        <w:fldChar w:fldCharType="begin"/>
      </w:r>
      <w:r>
        <w:rPr>
          <w:noProof/>
        </w:rPr>
        <w:instrText xml:space="preserve"> PAGEREF _Toc112244157 \h </w:instrText>
      </w:r>
      <w:r>
        <w:rPr>
          <w:noProof/>
        </w:rPr>
      </w:r>
      <w:r>
        <w:rPr>
          <w:noProof/>
        </w:rPr>
        <w:fldChar w:fldCharType="separate"/>
      </w:r>
      <w:r w:rsidR="007D7CA7">
        <w:rPr>
          <w:noProof/>
        </w:rPr>
        <w:t>8</w:t>
      </w:r>
      <w:r>
        <w:rPr>
          <w:noProof/>
        </w:rPr>
        <w:fldChar w:fldCharType="end"/>
      </w:r>
    </w:p>
    <w:p w14:paraId="53621D90" w14:textId="77777777" w:rsidR="007E1F1A" w:rsidRDefault="007E1F1A">
      <w:pPr>
        <w:pStyle w:val="TableofFigures"/>
        <w:rPr>
          <w:rFonts w:eastAsiaTheme="minorEastAsia"/>
          <w:noProof/>
          <w:kern w:val="0"/>
          <w:sz w:val="22"/>
          <w:szCs w:val="22"/>
        </w:rPr>
      </w:pPr>
      <w:r>
        <w:rPr>
          <w:noProof/>
        </w:rPr>
        <w:t>Figure 4: Excess Precipitation Hyetograph Applied to 2D Mesh – Cowhouse</w:t>
      </w:r>
      <w:r>
        <w:rPr>
          <w:noProof/>
        </w:rPr>
        <w:tab/>
      </w:r>
      <w:r>
        <w:rPr>
          <w:noProof/>
        </w:rPr>
        <w:fldChar w:fldCharType="begin"/>
      </w:r>
      <w:r>
        <w:rPr>
          <w:noProof/>
        </w:rPr>
        <w:instrText xml:space="preserve"> PAGEREF _Toc112244158 \h </w:instrText>
      </w:r>
      <w:r>
        <w:rPr>
          <w:noProof/>
        </w:rPr>
      </w:r>
      <w:r>
        <w:rPr>
          <w:noProof/>
        </w:rPr>
        <w:fldChar w:fldCharType="separate"/>
      </w:r>
      <w:r w:rsidR="007D7CA7">
        <w:rPr>
          <w:noProof/>
        </w:rPr>
        <w:t>12</w:t>
      </w:r>
      <w:r>
        <w:rPr>
          <w:noProof/>
        </w:rPr>
        <w:fldChar w:fldCharType="end"/>
      </w:r>
    </w:p>
    <w:p w14:paraId="76150B61" w14:textId="77777777" w:rsidR="007E1F1A" w:rsidRDefault="007E1F1A">
      <w:pPr>
        <w:pStyle w:val="TableofFigures"/>
        <w:rPr>
          <w:rFonts w:eastAsiaTheme="minorEastAsia"/>
          <w:noProof/>
          <w:kern w:val="0"/>
          <w:sz w:val="22"/>
          <w:szCs w:val="22"/>
        </w:rPr>
      </w:pPr>
      <w:r>
        <w:rPr>
          <w:noProof/>
        </w:rPr>
        <w:t>Figure 5: Stage Hydrograph for Cowhouse</w:t>
      </w:r>
      <w:r>
        <w:rPr>
          <w:noProof/>
        </w:rPr>
        <w:tab/>
      </w:r>
      <w:r>
        <w:rPr>
          <w:noProof/>
        </w:rPr>
        <w:fldChar w:fldCharType="begin"/>
      </w:r>
      <w:r>
        <w:rPr>
          <w:noProof/>
        </w:rPr>
        <w:instrText xml:space="preserve"> PAGEREF _Toc112244159 \h </w:instrText>
      </w:r>
      <w:r>
        <w:rPr>
          <w:noProof/>
        </w:rPr>
      </w:r>
      <w:r>
        <w:rPr>
          <w:noProof/>
        </w:rPr>
        <w:fldChar w:fldCharType="separate"/>
      </w:r>
      <w:r w:rsidR="007D7CA7">
        <w:rPr>
          <w:noProof/>
        </w:rPr>
        <w:t>12</w:t>
      </w:r>
      <w:r>
        <w:rPr>
          <w:noProof/>
        </w:rPr>
        <w:fldChar w:fldCharType="end"/>
      </w:r>
    </w:p>
    <w:p w14:paraId="206281ED" w14:textId="77777777" w:rsidR="007E1F1A" w:rsidRDefault="007E1F1A">
      <w:pPr>
        <w:pStyle w:val="TableofFigures"/>
        <w:rPr>
          <w:rFonts w:eastAsiaTheme="minorEastAsia"/>
          <w:noProof/>
          <w:kern w:val="0"/>
          <w:sz w:val="22"/>
          <w:szCs w:val="22"/>
        </w:rPr>
      </w:pPr>
      <w:r>
        <w:rPr>
          <w:noProof/>
        </w:rPr>
        <w:t>Figure 6: V-notch Breakline Approach at Bridge Crossing</w:t>
      </w:r>
      <w:r>
        <w:rPr>
          <w:noProof/>
        </w:rPr>
        <w:tab/>
      </w:r>
      <w:r>
        <w:rPr>
          <w:noProof/>
        </w:rPr>
        <w:fldChar w:fldCharType="begin"/>
      </w:r>
      <w:r>
        <w:rPr>
          <w:noProof/>
        </w:rPr>
        <w:instrText xml:space="preserve"> PAGEREF _Toc112244160 \h </w:instrText>
      </w:r>
      <w:r>
        <w:rPr>
          <w:noProof/>
        </w:rPr>
      </w:r>
      <w:r>
        <w:rPr>
          <w:noProof/>
        </w:rPr>
        <w:fldChar w:fldCharType="separate"/>
      </w:r>
      <w:r w:rsidR="007D7CA7">
        <w:rPr>
          <w:noProof/>
        </w:rPr>
        <w:t>15</w:t>
      </w:r>
      <w:r>
        <w:rPr>
          <w:noProof/>
        </w:rPr>
        <w:fldChar w:fldCharType="end"/>
      </w:r>
    </w:p>
    <w:p w14:paraId="7E1F13F8" w14:textId="77777777" w:rsidR="007E1F1A" w:rsidRDefault="007E1F1A">
      <w:pPr>
        <w:pStyle w:val="TableofFigures"/>
        <w:rPr>
          <w:rFonts w:eastAsiaTheme="minorEastAsia"/>
          <w:noProof/>
          <w:kern w:val="0"/>
          <w:sz w:val="22"/>
          <w:szCs w:val="22"/>
        </w:rPr>
      </w:pPr>
      <w:r>
        <w:rPr>
          <w:noProof/>
        </w:rPr>
        <w:t>Figure 7: Calibration Comparison</w:t>
      </w:r>
      <w:r>
        <w:rPr>
          <w:noProof/>
        </w:rPr>
        <w:tab/>
      </w:r>
      <w:r>
        <w:rPr>
          <w:noProof/>
        </w:rPr>
        <w:fldChar w:fldCharType="begin"/>
      </w:r>
      <w:r>
        <w:rPr>
          <w:noProof/>
        </w:rPr>
        <w:instrText xml:space="preserve"> PAGEREF _Toc112244161 \h </w:instrText>
      </w:r>
      <w:r>
        <w:rPr>
          <w:noProof/>
        </w:rPr>
      </w:r>
      <w:r>
        <w:rPr>
          <w:noProof/>
        </w:rPr>
        <w:fldChar w:fldCharType="separate"/>
      </w:r>
      <w:r w:rsidR="007D7CA7">
        <w:rPr>
          <w:noProof/>
        </w:rPr>
        <w:t>18</w:t>
      </w:r>
      <w:r>
        <w:rPr>
          <w:noProof/>
        </w:rPr>
        <w:fldChar w:fldCharType="end"/>
      </w:r>
    </w:p>
    <w:p w14:paraId="094E1E1D" w14:textId="77777777" w:rsidR="007E1F1A" w:rsidRDefault="007E1F1A">
      <w:pPr>
        <w:pStyle w:val="TableofFigures"/>
        <w:rPr>
          <w:rFonts w:eastAsiaTheme="minorEastAsia"/>
          <w:noProof/>
          <w:kern w:val="0"/>
          <w:sz w:val="22"/>
          <w:szCs w:val="22"/>
        </w:rPr>
      </w:pPr>
      <w:r>
        <w:rPr>
          <w:noProof/>
        </w:rPr>
        <w:t>Figure 8: Cowhouse Watershed CNMS Validation Results</w:t>
      </w:r>
      <w:r>
        <w:rPr>
          <w:noProof/>
        </w:rPr>
        <w:tab/>
      </w:r>
      <w:r>
        <w:rPr>
          <w:noProof/>
        </w:rPr>
        <w:fldChar w:fldCharType="begin"/>
      </w:r>
      <w:r>
        <w:rPr>
          <w:noProof/>
        </w:rPr>
        <w:instrText xml:space="preserve"> PAGEREF _Toc112244162 \h </w:instrText>
      </w:r>
      <w:r>
        <w:rPr>
          <w:noProof/>
        </w:rPr>
      </w:r>
      <w:r>
        <w:rPr>
          <w:noProof/>
        </w:rPr>
        <w:fldChar w:fldCharType="separate"/>
      </w:r>
      <w:r w:rsidR="007D7CA7">
        <w:rPr>
          <w:noProof/>
        </w:rPr>
        <w:t>23</w:t>
      </w:r>
      <w:r>
        <w:rPr>
          <w:noProof/>
        </w:rPr>
        <w:fldChar w:fldCharType="end"/>
      </w:r>
    </w:p>
    <w:p w14:paraId="14E5EC2B" w14:textId="77777777" w:rsidR="007E1F1A" w:rsidRDefault="007E1F1A">
      <w:pPr>
        <w:pStyle w:val="TableofFigures"/>
        <w:rPr>
          <w:rFonts w:eastAsiaTheme="minorEastAsia"/>
          <w:noProof/>
          <w:kern w:val="0"/>
          <w:sz w:val="22"/>
          <w:szCs w:val="22"/>
        </w:rPr>
      </w:pPr>
      <w:r>
        <w:rPr>
          <w:noProof/>
        </w:rPr>
        <w:t>Figure 9: Ranking of Cowhouse Watershed HUC-12s</w:t>
      </w:r>
      <w:r>
        <w:rPr>
          <w:noProof/>
        </w:rPr>
        <w:tab/>
      </w:r>
      <w:r>
        <w:rPr>
          <w:noProof/>
        </w:rPr>
        <w:fldChar w:fldCharType="begin"/>
      </w:r>
      <w:r>
        <w:rPr>
          <w:noProof/>
        </w:rPr>
        <w:instrText xml:space="preserve"> PAGEREF _Toc112244163 \h </w:instrText>
      </w:r>
      <w:r>
        <w:rPr>
          <w:noProof/>
        </w:rPr>
      </w:r>
      <w:r>
        <w:rPr>
          <w:noProof/>
        </w:rPr>
        <w:fldChar w:fldCharType="separate"/>
      </w:r>
      <w:r w:rsidR="007D7CA7">
        <w:rPr>
          <w:noProof/>
        </w:rPr>
        <w:t>24</w:t>
      </w:r>
      <w:r>
        <w:rPr>
          <w:noProof/>
        </w:rPr>
        <w:fldChar w:fldCharType="end"/>
      </w:r>
    </w:p>
    <w:p w14:paraId="37F9E495" w14:textId="3B5C411C" w:rsidR="003964F2" w:rsidRDefault="0063518A" w:rsidP="003964F2">
      <w:pPr>
        <w:pStyle w:val="BodyText"/>
        <w:rPr>
          <w:noProof/>
        </w:rPr>
      </w:pPr>
      <w:r>
        <w:rPr>
          <w:noProof/>
        </w:rPr>
        <w:fldChar w:fldCharType="end"/>
      </w:r>
    </w:p>
    <w:p w14:paraId="08C2F95B" w14:textId="29229EB3" w:rsidR="003964F2" w:rsidRDefault="00BF3F75" w:rsidP="00CA2219">
      <w:pPr>
        <w:pStyle w:val="TOCHeading"/>
        <w:rPr>
          <w:noProof/>
        </w:rPr>
      </w:pPr>
      <w:bookmarkStart w:id="15" w:name="Text_Tables"/>
      <w:r>
        <w:rPr>
          <w:noProof/>
        </w:rPr>
        <w:t xml:space="preserve">List of </w:t>
      </w:r>
      <w:r w:rsidR="003964F2">
        <w:rPr>
          <w:noProof/>
        </w:rPr>
        <w:t>Tables</w:t>
      </w:r>
      <w:bookmarkEnd w:id="15"/>
    </w:p>
    <w:p w14:paraId="05499E6B" w14:textId="77777777" w:rsidR="007E1F1A" w:rsidRDefault="003964F2">
      <w:pPr>
        <w:pStyle w:val="TableofFigures"/>
        <w:rPr>
          <w:rFonts w:eastAsiaTheme="minorEastAsia"/>
          <w:noProof/>
          <w:kern w:val="0"/>
          <w:sz w:val="22"/>
          <w:szCs w:val="22"/>
        </w:rPr>
      </w:pPr>
      <w:r>
        <w:rPr>
          <w:noProof/>
        </w:rPr>
        <w:fldChar w:fldCharType="begin"/>
      </w:r>
      <w:r>
        <w:rPr>
          <w:noProof/>
        </w:rPr>
        <w:instrText xml:space="preserve"> TOC \z \c "Table" </w:instrText>
      </w:r>
      <w:r>
        <w:rPr>
          <w:noProof/>
        </w:rPr>
        <w:fldChar w:fldCharType="separate"/>
      </w:r>
      <w:r w:rsidR="007E1F1A">
        <w:rPr>
          <w:noProof/>
        </w:rPr>
        <w:t>Table 1: FEMA Vertical Accuracy Requirements for Leveraged Data</w:t>
      </w:r>
      <w:r w:rsidR="007E1F1A">
        <w:rPr>
          <w:noProof/>
          <w:webHidden/>
        </w:rPr>
        <w:tab/>
      </w:r>
      <w:r w:rsidR="007E1F1A">
        <w:rPr>
          <w:noProof/>
          <w:webHidden/>
        </w:rPr>
        <w:fldChar w:fldCharType="begin"/>
      </w:r>
      <w:r w:rsidR="007E1F1A">
        <w:rPr>
          <w:noProof/>
          <w:webHidden/>
        </w:rPr>
        <w:instrText xml:space="preserve"> PAGEREF _Toc112244164 \h </w:instrText>
      </w:r>
      <w:r w:rsidR="007E1F1A">
        <w:rPr>
          <w:noProof/>
          <w:webHidden/>
        </w:rPr>
        <w:fldChar w:fldCharType="separate"/>
      </w:r>
      <w:r w:rsidR="007D7CA7">
        <w:rPr>
          <w:b/>
          <w:bCs/>
          <w:noProof/>
          <w:webHidden/>
        </w:rPr>
        <w:t>Error! Bookmark not defined.</w:t>
      </w:r>
      <w:r w:rsidR="007E1F1A">
        <w:rPr>
          <w:noProof/>
          <w:webHidden/>
        </w:rPr>
        <w:fldChar w:fldCharType="end"/>
      </w:r>
    </w:p>
    <w:p w14:paraId="744F2F3B" w14:textId="77777777" w:rsidR="007E1F1A" w:rsidRDefault="007E1F1A">
      <w:pPr>
        <w:pStyle w:val="TableofFigures"/>
        <w:rPr>
          <w:rFonts w:eastAsiaTheme="minorEastAsia"/>
          <w:noProof/>
          <w:kern w:val="0"/>
          <w:sz w:val="22"/>
          <w:szCs w:val="22"/>
        </w:rPr>
      </w:pPr>
      <w:r>
        <w:rPr>
          <w:noProof/>
        </w:rPr>
        <w:t>Table 2: LiDAR Topographic Data Available for the Cowhouse Watershed</w:t>
      </w:r>
      <w:r>
        <w:rPr>
          <w:noProof/>
          <w:webHidden/>
        </w:rPr>
        <w:tab/>
      </w:r>
      <w:r>
        <w:rPr>
          <w:noProof/>
          <w:webHidden/>
        </w:rPr>
        <w:fldChar w:fldCharType="begin"/>
      </w:r>
      <w:r>
        <w:rPr>
          <w:noProof/>
          <w:webHidden/>
        </w:rPr>
        <w:instrText xml:space="preserve"> PAGEREF _Toc112244165 \h </w:instrText>
      </w:r>
      <w:r>
        <w:rPr>
          <w:noProof/>
          <w:webHidden/>
        </w:rPr>
        <w:fldChar w:fldCharType="separate"/>
      </w:r>
      <w:r w:rsidR="007D7CA7">
        <w:rPr>
          <w:b/>
          <w:bCs/>
          <w:noProof/>
          <w:webHidden/>
        </w:rPr>
        <w:t>Error! Bookmark not defined.</w:t>
      </w:r>
      <w:r>
        <w:rPr>
          <w:noProof/>
          <w:webHidden/>
        </w:rPr>
        <w:fldChar w:fldCharType="end"/>
      </w:r>
    </w:p>
    <w:p w14:paraId="1CD3EBC3" w14:textId="77777777" w:rsidR="007E1F1A" w:rsidRDefault="007E1F1A">
      <w:pPr>
        <w:pStyle w:val="TableofFigures"/>
        <w:rPr>
          <w:rFonts w:eastAsiaTheme="minorEastAsia"/>
          <w:noProof/>
          <w:kern w:val="0"/>
          <w:sz w:val="22"/>
          <w:szCs w:val="22"/>
        </w:rPr>
      </w:pPr>
      <w:r>
        <w:rPr>
          <w:noProof/>
        </w:rPr>
        <w:t>Table 3: USGS Peak Streamflow Gage</w:t>
      </w:r>
      <w:r>
        <w:rPr>
          <w:noProof/>
          <w:webHidden/>
        </w:rPr>
        <w:tab/>
      </w:r>
      <w:r>
        <w:rPr>
          <w:noProof/>
          <w:webHidden/>
        </w:rPr>
        <w:fldChar w:fldCharType="begin"/>
      </w:r>
      <w:r>
        <w:rPr>
          <w:noProof/>
          <w:webHidden/>
        </w:rPr>
        <w:instrText xml:space="preserve"> PAGEREF _Toc112244166 \h </w:instrText>
      </w:r>
      <w:r>
        <w:rPr>
          <w:noProof/>
          <w:webHidden/>
        </w:rPr>
      </w:r>
      <w:r>
        <w:rPr>
          <w:noProof/>
          <w:webHidden/>
        </w:rPr>
        <w:fldChar w:fldCharType="separate"/>
      </w:r>
      <w:r w:rsidR="007D7CA7">
        <w:rPr>
          <w:noProof/>
          <w:webHidden/>
        </w:rPr>
        <w:t>9</w:t>
      </w:r>
      <w:r>
        <w:rPr>
          <w:noProof/>
          <w:webHidden/>
        </w:rPr>
        <w:fldChar w:fldCharType="end"/>
      </w:r>
    </w:p>
    <w:p w14:paraId="09085EF3" w14:textId="77777777" w:rsidR="007E1F1A" w:rsidRDefault="007E1F1A">
      <w:pPr>
        <w:pStyle w:val="TableofFigures"/>
        <w:rPr>
          <w:rFonts w:eastAsiaTheme="minorEastAsia"/>
          <w:noProof/>
          <w:kern w:val="0"/>
          <w:sz w:val="22"/>
          <w:szCs w:val="22"/>
        </w:rPr>
      </w:pPr>
      <w:r>
        <w:rPr>
          <w:noProof/>
        </w:rPr>
        <w:t>Table 4: Land Use(LU)-Soils-CN Matrix for Defining Initial Curve Number</w:t>
      </w:r>
      <w:r>
        <w:rPr>
          <w:noProof/>
          <w:webHidden/>
        </w:rPr>
        <w:tab/>
      </w:r>
      <w:r>
        <w:rPr>
          <w:noProof/>
          <w:webHidden/>
        </w:rPr>
        <w:fldChar w:fldCharType="begin"/>
      </w:r>
      <w:r>
        <w:rPr>
          <w:noProof/>
          <w:webHidden/>
        </w:rPr>
        <w:instrText xml:space="preserve"> PAGEREF _Toc112244167 \h </w:instrText>
      </w:r>
      <w:r>
        <w:rPr>
          <w:noProof/>
          <w:webHidden/>
        </w:rPr>
      </w:r>
      <w:r>
        <w:rPr>
          <w:noProof/>
          <w:webHidden/>
        </w:rPr>
        <w:fldChar w:fldCharType="separate"/>
      </w:r>
      <w:r w:rsidR="007D7CA7">
        <w:rPr>
          <w:noProof/>
          <w:webHidden/>
        </w:rPr>
        <w:t>9</w:t>
      </w:r>
      <w:r>
        <w:rPr>
          <w:noProof/>
          <w:webHidden/>
        </w:rPr>
        <w:fldChar w:fldCharType="end"/>
      </w:r>
    </w:p>
    <w:p w14:paraId="212F5237" w14:textId="77777777" w:rsidR="007E1F1A" w:rsidRDefault="007E1F1A">
      <w:pPr>
        <w:pStyle w:val="TableofFigures"/>
        <w:rPr>
          <w:rFonts w:eastAsiaTheme="minorEastAsia"/>
          <w:noProof/>
          <w:kern w:val="0"/>
          <w:sz w:val="22"/>
          <w:szCs w:val="22"/>
        </w:rPr>
      </w:pPr>
      <w:r>
        <w:rPr>
          <w:noProof/>
        </w:rPr>
        <w:t>Table 5: Rainfall-Runoff Curve Numbers</w:t>
      </w:r>
      <w:r>
        <w:rPr>
          <w:noProof/>
          <w:webHidden/>
        </w:rPr>
        <w:tab/>
      </w:r>
      <w:r>
        <w:rPr>
          <w:noProof/>
          <w:webHidden/>
        </w:rPr>
        <w:fldChar w:fldCharType="begin"/>
      </w:r>
      <w:r>
        <w:rPr>
          <w:noProof/>
          <w:webHidden/>
        </w:rPr>
        <w:instrText xml:space="preserve"> PAGEREF _Toc112244168 \h </w:instrText>
      </w:r>
      <w:r>
        <w:rPr>
          <w:noProof/>
          <w:webHidden/>
        </w:rPr>
      </w:r>
      <w:r>
        <w:rPr>
          <w:noProof/>
          <w:webHidden/>
        </w:rPr>
        <w:fldChar w:fldCharType="separate"/>
      </w:r>
      <w:r w:rsidR="007D7CA7">
        <w:rPr>
          <w:noProof/>
          <w:webHidden/>
        </w:rPr>
        <w:t>11</w:t>
      </w:r>
      <w:r>
        <w:rPr>
          <w:noProof/>
          <w:webHidden/>
        </w:rPr>
        <w:fldChar w:fldCharType="end"/>
      </w:r>
    </w:p>
    <w:p w14:paraId="2F71DBD4" w14:textId="77777777" w:rsidR="007E1F1A" w:rsidRDefault="007E1F1A">
      <w:pPr>
        <w:pStyle w:val="TableofFigures"/>
        <w:rPr>
          <w:rFonts w:eastAsiaTheme="minorEastAsia"/>
          <w:noProof/>
          <w:kern w:val="0"/>
          <w:sz w:val="22"/>
          <w:szCs w:val="22"/>
        </w:rPr>
      </w:pPr>
      <w:r>
        <w:rPr>
          <w:noProof/>
        </w:rPr>
        <w:t>Table 6: Precipitation Totals estimated in HEC-HMS (post ARF)</w:t>
      </w:r>
      <w:r>
        <w:rPr>
          <w:noProof/>
          <w:webHidden/>
        </w:rPr>
        <w:tab/>
      </w:r>
      <w:r>
        <w:rPr>
          <w:noProof/>
          <w:webHidden/>
        </w:rPr>
        <w:fldChar w:fldCharType="begin"/>
      </w:r>
      <w:r>
        <w:rPr>
          <w:noProof/>
          <w:webHidden/>
        </w:rPr>
        <w:instrText xml:space="preserve"> PAGEREF _Toc112244169 \h </w:instrText>
      </w:r>
      <w:r>
        <w:rPr>
          <w:noProof/>
          <w:webHidden/>
        </w:rPr>
      </w:r>
      <w:r>
        <w:rPr>
          <w:noProof/>
          <w:webHidden/>
        </w:rPr>
        <w:fldChar w:fldCharType="separate"/>
      </w:r>
      <w:r w:rsidR="007D7CA7">
        <w:rPr>
          <w:noProof/>
          <w:webHidden/>
        </w:rPr>
        <w:t>11</w:t>
      </w:r>
      <w:r>
        <w:rPr>
          <w:noProof/>
          <w:webHidden/>
        </w:rPr>
        <w:fldChar w:fldCharType="end"/>
      </w:r>
    </w:p>
    <w:p w14:paraId="3E0B114F" w14:textId="77777777" w:rsidR="007E1F1A" w:rsidRDefault="007E1F1A">
      <w:pPr>
        <w:pStyle w:val="TableofFigures"/>
        <w:rPr>
          <w:rFonts w:eastAsiaTheme="minorEastAsia"/>
          <w:noProof/>
          <w:kern w:val="0"/>
          <w:sz w:val="22"/>
          <w:szCs w:val="22"/>
        </w:rPr>
      </w:pPr>
      <w:r>
        <w:rPr>
          <w:noProof/>
        </w:rPr>
        <w:t>Table 7: Total Excess Precipitation Applied to 2D Mesh</w:t>
      </w:r>
      <w:r>
        <w:rPr>
          <w:noProof/>
          <w:webHidden/>
        </w:rPr>
        <w:tab/>
      </w:r>
      <w:r>
        <w:rPr>
          <w:noProof/>
          <w:webHidden/>
        </w:rPr>
        <w:fldChar w:fldCharType="begin"/>
      </w:r>
      <w:r>
        <w:rPr>
          <w:noProof/>
          <w:webHidden/>
        </w:rPr>
        <w:instrText xml:space="preserve"> PAGEREF _Toc112244170 \h </w:instrText>
      </w:r>
      <w:r>
        <w:rPr>
          <w:noProof/>
          <w:webHidden/>
        </w:rPr>
      </w:r>
      <w:r>
        <w:rPr>
          <w:noProof/>
          <w:webHidden/>
        </w:rPr>
        <w:fldChar w:fldCharType="separate"/>
      </w:r>
      <w:r w:rsidR="007D7CA7">
        <w:rPr>
          <w:noProof/>
          <w:webHidden/>
        </w:rPr>
        <w:t>11</w:t>
      </w:r>
      <w:r>
        <w:rPr>
          <w:noProof/>
          <w:webHidden/>
        </w:rPr>
        <w:fldChar w:fldCharType="end"/>
      </w:r>
    </w:p>
    <w:p w14:paraId="49A3CD81" w14:textId="77777777" w:rsidR="007E1F1A" w:rsidRDefault="007E1F1A">
      <w:pPr>
        <w:pStyle w:val="TableofFigures"/>
        <w:rPr>
          <w:rFonts w:eastAsiaTheme="minorEastAsia"/>
          <w:noProof/>
          <w:kern w:val="0"/>
          <w:sz w:val="22"/>
          <w:szCs w:val="22"/>
        </w:rPr>
      </w:pPr>
      <w:r>
        <w:rPr>
          <w:noProof/>
        </w:rPr>
        <w:t>Table 8: NLCD 2019 Manning's n Roughness Matrix</w:t>
      </w:r>
      <w:r>
        <w:rPr>
          <w:noProof/>
          <w:webHidden/>
        </w:rPr>
        <w:tab/>
      </w:r>
      <w:r>
        <w:rPr>
          <w:noProof/>
          <w:webHidden/>
        </w:rPr>
        <w:fldChar w:fldCharType="begin"/>
      </w:r>
      <w:r>
        <w:rPr>
          <w:noProof/>
          <w:webHidden/>
        </w:rPr>
        <w:instrText xml:space="preserve"> PAGEREF _Toc112244171 \h </w:instrText>
      </w:r>
      <w:r>
        <w:rPr>
          <w:noProof/>
          <w:webHidden/>
        </w:rPr>
      </w:r>
      <w:r>
        <w:rPr>
          <w:noProof/>
          <w:webHidden/>
        </w:rPr>
        <w:fldChar w:fldCharType="separate"/>
      </w:r>
      <w:r w:rsidR="007D7CA7">
        <w:rPr>
          <w:noProof/>
          <w:webHidden/>
        </w:rPr>
        <w:t>13</w:t>
      </w:r>
      <w:r>
        <w:rPr>
          <w:noProof/>
          <w:webHidden/>
        </w:rPr>
        <w:fldChar w:fldCharType="end"/>
      </w:r>
    </w:p>
    <w:p w14:paraId="2C0FA47B" w14:textId="77777777" w:rsidR="007E1F1A" w:rsidRDefault="007E1F1A">
      <w:pPr>
        <w:pStyle w:val="TableofFigures"/>
        <w:rPr>
          <w:rFonts w:eastAsiaTheme="minorEastAsia"/>
          <w:noProof/>
          <w:kern w:val="0"/>
          <w:sz w:val="22"/>
          <w:szCs w:val="22"/>
        </w:rPr>
      </w:pPr>
      <w:r>
        <w:rPr>
          <w:noProof/>
        </w:rPr>
        <w:t>Table 9: Communities with 2D Mesh Refinement</w:t>
      </w:r>
      <w:r>
        <w:rPr>
          <w:noProof/>
          <w:webHidden/>
        </w:rPr>
        <w:tab/>
      </w:r>
      <w:r>
        <w:rPr>
          <w:noProof/>
          <w:webHidden/>
        </w:rPr>
        <w:fldChar w:fldCharType="begin"/>
      </w:r>
      <w:r>
        <w:rPr>
          <w:noProof/>
          <w:webHidden/>
        </w:rPr>
        <w:instrText xml:space="preserve"> PAGEREF _Toc112244172 \h </w:instrText>
      </w:r>
      <w:r>
        <w:rPr>
          <w:noProof/>
          <w:webHidden/>
        </w:rPr>
      </w:r>
      <w:r>
        <w:rPr>
          <w:noProof/>
          <w:webHidden/>
        </w:rPr>
        <w:fldChar w:fldCharType="separate"/>
      </w:r>
      <w:r w:rsidR="007D7CA7">
        <w:rPr>
          <w:noProof/>
          <w:webHidden/>
        </w:rPr>
        <w:t>15</w:t>
      </w:r>
      <w:r>
        <w:rPr>
          <w:noProof/>
          <w:webHidden/>
        </w:rPr>
        <w:fldChar w:fldCharType="end"/>
      </w:r>
    </w:p>
    <w:p w14:paraId="6F25DB9F" w14:textId="77777777" w:rsidR="007E1F1A" w:rsidRDefault="007E1F1A">
      <w:pPr>
        <w:pStyle w:val="TableofFigures"/>
        <w:rPr>
          <w:rFonts w:eastAsiaTheme="minorEastAsia"/>
          <w:noProof/>
          <w:kern w:val="0"/>
          <w:sz w:val="22"/>
          <w:szCs w:val="22"/>
        </w:rPr>
      </w:pPr>
      <w:r>
        <w:rPr>
          <w:noProof/>
        </w:rPr>
        <w:t>Table 10: Effective and Model Base Flood Elevation(BFE) Comparison after calibration</w:t>
      </w:r>
      <w:r>
        <w:rPr>
          <w:noProof/>
          <w:webHidden/>
        </w:rPr>
        <w:tab/>
      </w:r>
      <w:r>
        <w:rPr>
          <w:noProof/>
          <w:webHidden/>
        </w:rPr>
        <w:fldChar w:fldCharType="begin"/>
      </w:r>
      <w:r>
        <w:rPr>
          <w:noProof/>
          <w:webHidden/>
        </w:rPr>
        <w:instrText xml:space="preserve"> PAGEREF _Toc112244173 \h </w:instrText>
      </w:r>
      <w:r>
        <w:rPr>
          <w:noProof/>
          <w:webHidden/>
        </w:rPr>
      </w:r>
      <w:r>
        <w:rPr>
          <w:noProof/>
          <w:webHidden/>
        </w:rPr>
        <w:fldChar w:fldCharType="separate"/>
      </w:r>
      <w:r w:rsidR="007D7CA7">
        <w:rPr>
          <w:noProof/>
          <w:webHidden/>
        </w:rPr>
        <w:t>16</w:t>
      </w:r>
      <w:r>
        <w:rPr>
          <w:noProof/>
          <w:webHidden/>
        </w:rPr>
        <w:fldChar w:fldCharType="end"/>
      </w:r>
    </w:p>
    <w:p w14:paraId="1A6753E8" w14:textId="77777777" w:rsidR="007E1F1A" w:rsidRDefault="007E1F1A">
      <w:pPr>
        <w:pStyle w:val="TableofFigures"/>
        <w:rPr>
          <w:rFonts w:eastAsiaTheme="minorEastAsia"/>
          <w:noProof/>
          <w:kern w:val="0"/>
          <w:sz w:val="22"/>
          <w:szCs w:val="22"/>
        </w:rPr>
      </w:pPr>
      <w:r>
        <w:rPr>
          <w:noProof/>
        </w:rPr>
        <w:t>Table 11: Calibration Results</w:t>
      </w:r>
      <w:r>
        <w:rPr>
          <w:noProof/>
          <w:webHidden/>
        </w:rPr>
        <w:tab/>
      </w:r>
      <w:r>
        <w:rPr>
          <w:noProof/>
          <w:webHidden/>
        </w:rPr>
        <w:fldChar w:fldCharType="begin"/>
      </w:r>
      <w:r>
        <w:rPr>
          <w:noProof/>
          <w:webHidden/>
        </w:rPr>
        <w:instrText xml:space="preserve"> PAGEREF _Toc112244174 \h </w:instrText>
      </w:r>
      <w:r>
        <w:rPr>
          <w:noProof/>
          <w:webHidden/>
        </w:rPr>
      </w:r>
      <w:r>
        <w:rPr>
          <w:noProof/>
          <w:webHidden/>
        </w:rPr>
        <w:fldChar w:fldCharType="separate"/>
      </w:r>
      <w:r w:rsidR="007D7CA7">
        <w:rPr>
          <w:noProof/>
          <w:webHidden/>
        </w:rPr>
        <w:t>17</w:t>
      </w:r>
      <w:r>
        <w:rPr>
          <w:noProof/>
          <w:webHidden/>
        </w:rPr>
        <w:fldChar w:fldCharType="end"/>
      </w:r>
    </w:p>
    <w:p w14:paraId="090AA967" w14:textId="77777777" w:rsidR="007E1F1A" w:rsidRDefault="007E1F1A">
      <w:pPr>
        <w:pStyle w:val="TableofFigures"/>
        <w:rPr>
          <w:rFonts w:eastAsiaTheme="minorEastAsia"/>
          <w:noProof/>
          <w:kern w:val="0"/>
          <w:sz w:val="22"/>
          <w:szCs w:val="22"/>
        </w:rPr>
      </w:pPr>
      <w:r>
        <w:rPr>
          <w:noProof/>
        </w:rPr>
        <w:t>Table 12: 1-percent Gage WSEL and RAS WSEL Comparison</w:t>
      </w:r>
      <w:r>
        <w:rPr>
          <w:noProof/>
          <w:webHidden/>
        </w:rPr>
        <w:tab/>
      </w:r>
      <w:r>
        <w:rPr>
          <w:noProof/>
          <w:webHidden/>
        </w:rPr>
        <w:fldChar w:fldCharType="begin"/>
      </w:r>
      <w:r>
        <w:rPr>
          <w:noProof/>
          <w:webHidden/>
        </w:rPr>
        <w:instrText xml:space="preserve"> PAGEREF _Toc112244175 \h </w:instrText>
      </w:r>
      <w:r>
        <w:rPr>
          <w:noProof/>
          <w:webHidden/>
        </w:rPr>
      </w:r>
      <w:r>
        <w:rPr>
          <w:noProof/>
          <w:webHidden/>
        </w:rPr>
        <w:fldChar w:fldCharType="separate"/>
      </w:r>
      <w:r w:rsidR="007D7CA7">
        <w:rPr>
          <w:noProof/>
          <w:webHidden/>
        </w:rPr>
        <w:t>18</w:t>
      </w:r>
      <w:r>
        <w:rPr>
          <w:noProof/>
          <w:webHidden/>
        </w:rPr>
        <w:fldChar w:fldCharType="end"/>
      </w:r>
    </w:p>
    <w:p w14:paraId="791177C8" w14:textId="77777777" w:rsidR="007E1F1A" w:rsidRDefault="007E1F1A">
      <w:pPr>
        <w:pStyle w:val="TableofFigures"/>
        <w:rPr>
          <w:rFonts w:eastAsiaTheme="minorEastAsia"/>
          <w:noProof/>
          <w:kern w:val="0"/>
          <w:sz w:val="22"/>
          <w:szCs w:val="22"/>
        </w:rPr>
      </w:pPr>
      <w:r>
        <w:rPr>
          <w:noProof/>
        </w:rPr>
        <w:t>Table 13: Mapping Threshold Matrix</w:t>
      </w:r>
      <w:r>
        <w:rPr>
          <w:noProof/>
          <w:webHidden/>
        </w:rPr>
        <w:tab/>
      </w:r>
      <w:r>
        <w:rPr>
          <w:noProof/>
          <w:webHidden/>
        </w:rPr>
        <w:fldChar w:fldCharType="begin"/>
      </w:r>
      <w:r>
        <w:rPr>
          <w:noProof/>
          <w:webHidden/>
        </w:rPr>
        <w:instrText xml:space="preserve"> PAGEREF _Toc112244176 \h </w:instrText>
      </w:r>
      <w:r>
        <w:rPr>
          <w:noProof/>
          <w:webHidden/>
        </w:rPr>
      </w:r>
      <w:r>
        <w:rPr>
          <w:noProof/>
          <w:webHidden/>
        </w:rPr>
        <w:fldChar w:fldCharType="separate"/>
      </w:r>
      <w:r w:rsidR="007D7CA7">
        <w:rPr>
          <w:noProof/>
          <w:webHidden/>
        </w:rPr>
        <w:t>19</w:t>
      </w:r>
      <w:r>
        <w:rPr>
          <w:noProof/>
          <w:webHidden/>
        </w:rPr>
        <w:fldChar w:fldCharType="end"/>
      </w:r>
    </w:p>
    <w:p w14:paraId="2E2D29AB" w14:textId="77777777" w:rsidR="007E1F1A" w:rsidRDefault="007E1F1A">
      <w:pPr>
        <w:pStyle w:val="TableofFigures"/>
        <w:rPr>
          <w:rFonts w:eastAsiaTheme="minorEastAsia"/>
          <w:noProof/>
          <w:kern w:val="0"/>
          <w:sz w:val="22"/>
          <w:szCs w:val="22"/>
        </w:rPr>
      </w:pPr>
      <w:r>
        <w:rPr>
          <w:noProof/>
        </w:rPr>
        <w:t>Table 14: Zone A Initial Assessment Results</w:t>
      </w:r>
      <w:r>
        <w:rPr>
          <w:noProof/>
          <w:webHidden/>
        </w:rPr>
        <w:tab/>
      </w:r>
      <w:r>
        <w:rPr>
          <w:noProof/>
          <w:webHidden/>
        </w:rPr>
        <w:fldChar w:fldCharType="begin"/>
      </w:r>
      <w:r>
        <w:rPr>
          <w:noProof/>
          <w:webHidden/>
        </w:rPr>
        <w:instrText xml:space="preserve"> PAGEREF _Toc112244177 \h </w:instrText>
      </w:r>
      <w:r>
        <w:rPr>
          <w:noProof/>
          <w:webHidden/>
        </w:rPr>
      </w:r>
      <w:r>
        <w:rPr>
          <w:noProof/>
          <w:webHidden/>
        </w:rPr>
        <w:fldChar w:fldCharType="separate"/>
      </w:r>
      <w:r w:rsidR="007D7CA7">
        <w:rPr>
          <w:noProof/>
          <w:webHidden/>
        </w:rPr>
        <w:t>21</w:t>
      </w:r>
      <w:r>
        <w:rPr>
          <w:noProof/>
          <w:webHidden/>
        </w:rPr>
        <w:fldChar w:fldCharType="end"/>
      </w:r>
    </w:p>
    <w:p w14:paraId="15A46243" w14:textId="77777777" w:rsidR="007E1F1A" w:rsidRDefault="007E1F1A">
      <w:pPr>
        <w:pStyle w:val="TableofFigures"/>
        <w:rPr>
          <w:rFonts w:eastAsiaTheme="minorEastAsia"/>
          <w:noProof/>
          <w:kern w:val="0"/>
          <w:sz w:val="22"/>
          <w:szCs w:val="22"/>
        </w:rPr>
      </w:pPr>
      <w:r>
        <w:rPr>
          <w:noProof/>
        </w:rPr>
        <w:t>Table 15: BLE Comparison Results</w:t>
      </w:r>
      <w:r>
        <w:rPr>
          <w:noProof/>
          <w:webHidden/>
        </w:rPr>
        <w:tab/>
      </w:r>
      <w:r>
        <w:rPr>
          <w:noProof/>
          <w:webHidden/>
        </w:rPr>
        <w:fldChar w:fldCharType="begin"/>
      </w:r>
      <w:r>
        <w:rPr>
          <w:noProof/>
          <w:webHidden/>
        </w:rPr>
        <w:instrText xml:space="preserve"> PAGEREF _Toc112244178 \h </w:instrText>
      </w:r>
      <w:r>
        <w:rPr>
          <w:noProof/>
          <w:webHidden/>
        </w:rPr>
      </w:r>
      <w:r>
        <w:rPr>
          <w:noProof/>
          <w:webHidden/>
        </w:rPr>
        <w:fldChar w:fldCharType="separate"/>
      </w:r>
      <w:r w:rsidR="007D7CA7">
        <w:rPr>
          <w:noProof/>
          <w:webHidden/>
        </w:rPr>
        <w:t>22</w:t>
      </w:r>
      <w:r>
        <w:rPr>
          <w:noProof/>
          <w:webHidden/>
        </w:rPr>
        <w:fldChar w:fldCharType="end"/>
      </w:r>
    </w:p>
    <w:p w14:paraId="5E5A4F59" w14:textId="77777777" w:rsidR="007E1F1A" w:rsidRDefault="007E1F1A">
      <w:pPr>
        <w:pStyle w:val="TableofFigures"/>
        <w:rPr>
          <w:rFonts w:eastAsiaTheme="minorEastAsia"/>
          <w:noProof/>
          <w:kern w:val="0"/>
          <w:sz w:val="22"/>
          <w:szCs w:val="22"/>
        </w:rPr>
      </w:pPr>
      <w:r>
        <w:rPr>
          <w:noProof/>
        </w:rPr>
        <w:t>Table 16: Zone A Validation Results</w:t>
      </w:r>
      <w:r>
        <w:rPr>
          <w:noProof/>
          <w:webHidden/>
        </w:rPr>
        <w:tab/>
      </w:r>
      <w:r>
        <w:rPr>
          <w:noProof/>
          <w:webHidden/>
        </w:rPr>
        <w:fldChar w:fldCharType="begin"/>
      </w:r>
      <w:r>
        <w:rPr>
          <w:noProof/>
          <w:webHidden/>
        </w:rPr>
        <w:instrText xml:space="preserve"> PAGEREF _Toc112244179 \h </w:instrText>
      </w:r>
      <w:r>
        <w:rPr>
          <w:noProof/>
          <w:webHidden/>
        </w:rPr>
      </w:r>
      <w:r>
        <w:rPr>
          <w:noProof/>
          <w:webHidden/>
        </w:rPr>
        <w:fldChar w:fldCharType="separate"/>
      </w:r>
      <w:r w:rsidR="007D7CA7">
        <w:rPr>
          <w:noProof/>
          <w:webHidden/>
        </w:rPr>
        <w:t>22</w:t>
      </w:r>
      <w:r>
        <w:rPr>
          <w:noProof/>
          <w:webHidden/>
        </w:rPr>
        <w:fldChar w:fldCharType="end"/>
      </w:r>
    </w:p>
    <w:p w14:paraId="49A2ED36" w14:textId="77777777" w:rsidR="007E1F1A" w:rsidRDefault="007E1F1A">
      <w:pPr>
        <w:pStyle w:val="TableofFigures"/>
        <w:rPr>
          <w:rFonts w:eastAsiaTheme="minorEastAsia"/>
          <w:noProof/>
          <w:kern w:val="0"/>
          <w:sz w:val="22"/>
          <w:szCs w:val="22"/>
        </w:rPr>
      </w:pPr>
      <w:r>
        <w:rPr>
          <w:noProof/>
        </w:rPr>
        <w:t>Table 17: Hazus 5.1 Results for 1-Percent-Annual-Chance (100 year) Scenario</w:t>
      </w:r>
      <w:r>
        <w:rPr>
          <w:noProof/>
          <w:webHidden/>
        </w:rPr>
        <w:tab/>
      </w:r>
      <w:r>
        <w:rPr>
          <w:noProof/>
          <w:webHidden/>
        </w:rPr>
        <w:fldChar w:fldCharType="begin"/>
      </w:r>
      <w:r>
        <w:rPr>
          <w:noProof/>
          <w:webHidden/>
        </w:rPr>
        <w:instrText xml:space="preserve"> PAGEREF _Toc112244180 \h </w:instrText>
      </w:r>
      <w:r>
        <w:rPr>
          <w:noProof/>
          <w:webHidden/>
        </w:rPr>
      </w:r>
      <w:r>
        <w:rPr>
          <w:noProof/>
          <w:webHidden/>
        </w:rPr>
        <w:fldChar w:fldCharType="separate"/>
      </w:r>
      <w:r w:rsidR="007D7CA7">
        <w:rPr>
          <w:noProof/>
          <w:webHidden/>
        </w:rPr>
        <w:t>25</w:t>
      </w:r>
      <w:r>
        <w:rPr>
          <w:noProof/>
          <w:webHidden/>
        </w:rPr>
        <w:fldChar w:fldCharType="end"/>
      </w:r>
    </w:p>
    <w:p w14:paraId="7447932B" w14:textId="760B6272" w:rsidR="007935AD" w:rsidRDefault="003964F2" w:rsidP="003964F2">
      <w:pPr>
        <w:pStyle w:val="BodyText"/>
        <w:rPr>
          <w:noProof/>
        </w:rPr>
      </w:pPr>
      <w:r>
        <w:rPr>
          <w:noProof/>
        </w:rPr>
        <w:fldChar w:fldCharType="end"/>
      </w:r>
    </w:p>
    <w:p w14:paraId="78E5C770" w14:textId="77777777" w:rsidR="007935AD" w:rsidRDefault="007935AD" w:rsidP="000A14DC">
      <w:pPr>
        <w:rPr>
          <w:b/>
          <w:bCs/>
          <w:noProof/>
        </w:rPr>
        <w:sectPr w:rsidR="007935AD" w:rsidSect="0030437A">
          <w:headerReference w:type="default" r:id="rId11"/>
          <w:footerReference w:type="default" r:id="rId12"/>
          <w:pgSz w:w="12240" w:h="15840" w:code="9"/>
          <w:pgMar w:top="1134" w:right="1440" w:bottom="851" w:left="1440" w:header="709" w:footer="284" w:gutter="0"/>
          <w:cols w:space="708"/>
          <w:docGrid w:linePitch="360"/>
        </w:sectPr>
      </w:pPr>
    </w:p>
    <w:p w14:paraId="5C378A8B" w14:textId="77777777" w:rsidR="00CA2219" w:rsidRDefault="00CA2219" w:rsidP="00CA2219">
      <w:pPr>
        <w:pStyle w:val="Heading1"/>
        <w:numPr>
          <w:ilvl w:val="0"/>
          <w:numId w:val="21"/>
        </w:numPr>
      </w:pPr>
      <w:bookmarkStart w:id="16" w:name="_Toc29880992"/>
      <w:bookmarkStart w:id="17" w:name="_Toc80634257"/>
      <w:bookmarkStart w:id="18" w:name="_Toc112244115"/>
      <w:bookmarkStart w:id="19" w:name="BodyContent"/>
      <w:r>
        <w:lastRenderedPageBreak/>
        <w:t>Introduction</w:t>
      </w:r>
      <w:bookmarkEnd w:id="16"/>
      <w:bookmarkEnd w:id="17"/>
      <w:bookmarkEnd w:id="18"/>
    </w:p>
    <w:p w14:paraId="7F67C372" w14:textId="77777777" w:rsidR="002A75EF" w:rsidRDefault="002A75EF" w:rsidP="002A75EF">
      <w:pPr>
        <w:pStyle w:val="BodyText"/>
      </w:pPr>
      <w:r>
        <w:t>Base Level Engineering (BLE) provides technically credible flood data for various geographies - community, county, watershed and/or state level.  BLE data can be shared with Federal, State, local and tribal governments, this data sharing provides stakeholders at all levels the necessary data to make informed decisions to reduce future flood losses.  Without the mapping of flood prone areas, there can be a lack of information to effectively communicate flood risk to community officials, citizens, and businesses.</w:t>
      </w:r>
    </w:p>
    <w:p w14:paraId="4AC1F695" w14:textId="323690F3" w:rsidR="002A75EF" w:rsidRDefault="002A75EF" w:rsidP="002A75EF">
      <w:pPr>
        <w:pStyle w:val="BodyText"/>
      </w:pPr>
      <w:r>
        <w:t>BLE is a riverine hydrologic and hydraulic modeling approach that builds on lessons learned to produce a baseline understanding of flood risk to communities, produced to support the assessment and maintenance of the national flood hazard inventory.  Engineering models are created during a BLE assessment, producing information that meets the mapping Standards for Flood Risk Projects (FEMA Policy Memo FP 204-078-1) to produce Zone A (1-percent-annual-chance flood) information.  BLE data is intended to represent the base level of investment needed for all flood study efforts FEMA wi</w:t>
      </w:r>
      <w:r w:rsidR="005F2149">
        <w:t xml:space="preserve">ll undertake.  The </w:t>
      </w:r>
      <w:r w:rsidR="00C21101">
        <w:t>Cowhouse</w:t>
      </w:r>
      <w:r w:rsidR="00F255F3">
        <w:t xml:space="preserve"> </w:t>
      </w:r>
      <w:r w:rsidR="005C72F6">
        <w:t>w</w:t>
      </w:r>
      <w:r>
        <w:t xml:space="preserve">atershed BLE documented here was designed to use </w:t>
      </w:r>
      <w:r w:rsidR="00BA0E2B">
        <w:t>two-dimensional</w:t>
      </w:r>
      <w:r>
        <w:t xml:space="preserve"> (2D) modeling techniques with enhancements and calibration to develop products that can be communicated and shared with stakeholders, and transitioned into FEMA regulatory data development workflows.</w:t>
      </w:r>
    </w:p>
    <w:p w14:paraId="0E1D89E0" w14:textId="3A436E87" w:rsidR="002A75EF" w:rsidRDefault="002A75EF" w:rsidP="002A75EF">
      <w:pPr>
        <w:pStyle w:val="BodyText"/>
      </w:pPr>
      <w:r>
        <w:t>The intent of BLE is to provide communities technically credible flood hazard information in a cost efficient and timely manner.  Additionally, BLE provides communities a chance to review draft modeling information, reflecting the potential changes in risk within their community.  Providing additional flood risk datasets, like water surface elevation</w:t>
      </w:r>
      <w:r w:rsidR="00556934">
        <w:t xml:space="preserve"> (WSEL)</w:t>
      </w:r>
      <w:r>
        <w:t xml:space="preserve"> grids and flood depth grids, delivers alternative information that reinforces the variability of flood risk within a designated floodplain and supports historic community requests for a source to determine a Base Flood Elevation in Zone A areas. </w:t>
      </w:r>
    </w:p>
    <w:p w14:paraId="1E3EFE64" w14:textId="77777777" w:rsidR="002A75EF" w:rsidRDefault="002A75EF" w:rsidP="002A75EF">
      <w:pPr>
        <w:pStyle w:val="BodyText"/>
      </w:pPr>
      <w:r>
        <w:t>For floodplain management purposes, BLE data may be used as best available information in areas that are designated as Zone A floodplain.  It may also be used to regulate development in areas where no Special Flood Hazard Area (SFHA) has been mapped before.  Communities may adopt BLE data to support local regulations, which facilitates use of the data in local floodplain management activities, including in the post disaster environment where a need for updated and/or enhanced flood hazard information may be necessary.</w:t>
      </w:r>
    </w:p>
    <w:p w14:paraId="71B1F5A7" w14:textId="77777777" w:rsidR="002A75EF" w:rsidRDefault="002A75EF" w:rsidP="002A75EF">
      <w:pPr>
        <w:pStyle w:val="BodyText"/>
      </w:pPr>
      <w:r>
        <w:t xml:space="preserve">BLE provides information to communities who are currently unmapped and provides a digital entry to communities that are currently un-modernized.  BLE acts as a measuring tool to allow FEMA to assess the current Zone A inventory identified as unknown or unverified in FEMA’s Coordinated Needs Management Strategy (CNMS), which FEMA is required to evaluate once every five years, as described in Title 42 of the Code of Federal Regulations, Chapter III, Section 4101(e).  </w:t>
      </w:r>
      <w:r w:rsidRPr="00D35186">
        <w:t xml:space="preserve">FEMA makes this determination of flood hazard data validity by examining flood study attributes and change characteristics, as specified in the Validation Checklist of the Coordinated Needs Management Strategy (CNMS) Technical Reference. </w:t>
      </w:r>
      <w:r>
        <w:t xml:space="preserve"> </w:t>
      </w:r>
      <w:r w:rsidRPr="00D35186">
        <w:t xml:space="preserve">The CNMS Validation Checklist provides a series of critical and secondary checks to determine the validity of flood hazard areas studied by detailed methods (e.g., Zone AE, AH, or AO). </w:t>
      </w:r>
      <w:r>
        <w:t xml:space="preserve"> </w:t>
      </w:r>
      <w:r w:rsidRPr="00D35186">
        <w:t>While the critical and secondary elements in CNMS provide a comprehensive method of evaluating the validity of Zone AE studies, a cost-effective approach for evaluating Zone A studies has been lacking</w:t>
      </w:r>
      <w:r>
        <w:t>.  Another important goal of the BLE process is scalability of the results, meaning that the model produced during the BLE assessment may be refined to produce a more enhanced model with additional manual correction and on the ground survey.  If BLE modeling exists, FEMA will recommend that it be used as the base model for any detailed studies performed in those areas.</w:t>
      </w:r>
    </w:p>
    <w:p w14:paraId="5329F1C4" w14:textId="1E94245F" w:rsidR="002A75EF" w:rsidRDefault="002A75EF" w:rsidP="002A75EF">
      <w:pPr>
        <w:pStyle w:val="BodyText"/>
      </w:pPr>
      <w:r>
        <w:t>BLE practices leverage high-resolution topography that meets or exceeds the United States Geological Survey (USGS) 3-D Elevation Program</w:t>
      </w:r>
      <w:r w:rsidR="008C01E1">
        <w:t xml:space="preserve"> (3DEP)</w:t>
      </w:r>
      <w:r>
        <w:t xml:space="preserve"> standards and often applies flood engineering at a large scale as opposed to targeting stream reaches within a watershed.  BLE can be conducted at any scale, commonly for larger areas (</w:t>
      </w:r>
      <w:bookmarkStart w:id="20" w:name="_Hlk102076018"/>
      <w:r w:rsidR="00556934">
        <w:t>Hydrologic Unit Code (HUC)</w:t>
      </w:r>
      <w:bookmarkEnd w:id="20"/>
      <w:r w:rsidR="00556934">
        <w:t>-8 watershed</w:t>
      </w:r>
      <w:r>
        <w:t>) but may be produced at the county or local level too.  It is encouraged to do BLE for wider areas in order to build on efficiencies in modeling and ensure cost efficiency.  Using current technologies, multiple watersheds or watersheds with large land areas can be analyzed at a more efficient rate to produce water-surface elevations and site-specific hazard data replacing outdated flood studies shown in existing Flood Insurance Rate Maps (FIRMs).  All flood prone areas within a watershed will have an engineering model calculating multiple flood recurrence intervals and defining floodplains with elevation grids using high-resolution topography.</w:t>
      </w:r>
    </w:p>
    <w:p w14:paraId="0B2CCDD7" w14:textId="7D1EFDCD" w:rsidR="002A75EF" w:rsidRDefault="00556934" w:rsidP="002A75EF">
      <w:pPr>
        <w:pStyle w:val="BodyText"/>
      </w:pPr>
      <w:r>
        <w:lastRenderedPageBreak/>
        <w:t>Per standard identification SID #84 and #133</w:t>
      </w:r>
      <w:r w:rsidR="002A75EF">
        <w:t xml:space="preserve">, BLE will include all recurrence intervals (0.2-percent, 1-percent, 1-percent plus, 1-percent minus, 2-percent, 4-percent, and 10-percent-annual-chance floods).  As such, hydrologic and hydraulic analysis should be performed to determine the expected </w:t>
      </w:r>
      <w:r>
        <w:t>WSELs</w:t>
      </w:r>
      <w:r w:rsidR="002A75EF">
        <w:t xml:space="preserve"> for each of the seven recurrence intervals previously identified.</w:t>
      </w:r>
    </w:p>
    <w:p w14:paraId="27D7EE18" w14:textId="5F5706F5" w:rsidR="00DC02A6" w:rsidRDefault="002A75EF" w:rsidP="002A75EF">
      <w:pPr>
        <w:pStyle w:val="BodyText"/>
      </w:pPr>
      <w:r w:rsidRPr="001F7B2E">
        <w:t xml:space="preserve">The </w:t>
      </w:r>
      <w:r w:rsidR="000E148A">
        <w:t>Cowhouse</w:t>
      </w:r>
      <w:r w:rsidR="005F2149" w:rsidRPr="001F7B2E">
        <w:t xml:space="preserve"> </w:t>
      </w:r>
      <w:r w:rsidR="005C72F6">
        <w:t>w</w:t>
      </w:r>
      <w:r w:rsidRPr="001F7B2E">
        <w:t xml:space="preserve">atershed 2D BLE project was scoped as described in the </w:t>
      </w:r>
      <w:r w:rsidR="00556934" w:rsidRPr="001F7B2E">
        <w:t>T</w:t>
      </w:r>
      <w:r w:rsidR="00556934">
        <w:t xml:space="preserve">exas </w:t>
      </w:r>
      <w:r w:rsidR="00556934" w:rsidRPr="001F7B2E">
        <w:t>W</w:t>
      </w:r>
      <w:r w:rsidR="00556934">
        <w:t xml:space="preserve">ater </w:t>
      </w:r>
      <w:r w:rsidR="00556934" w:rsidRPr="001F7B2E">
        <w:t>D</w:t>
      </w:r>
      <w:r w:rsidR="00556934">
        <w:t xml:space="preserve">evelopment </w:t>
      </w:r>
      <w:r w:rsidR="00556934" w:rsidRPr="001F7B2E">
        <w:t>B</w:t>
      </w:r>
      <w:r w:rsidR="00556934">
        <w:t>oard (TWDB)</w:t>
      </w:r>
      <w:r w:rsidR="00556934" w:rsidRPr="001F7B2E">
        <w:t xml:space="preserve"> </w:t>
      </w:r>
      <w:r w:rsidR="000E148A">
        <w:t xml:space="preserve"> Task Order 10</w:t>
      </w:r>
      <w:r w:rsidR="0022440D" w:rsidRPr="001F7B2E">
        <w:t xml:space="preserve">. </w:t>
      </w:r>
      <w:r w:rsidRPr="00DD6986">
        <w:t>In an effort to increase and enhance the flood risk products in Texas</w:t>
      </w:r>
      <w:r>
        <w:t xml:space="preserve">, the study was contracted through </w:t>
      </w:r>
      <w:r w:rsidRPr="00DD6986">
        <w:t>the TWDB</w:t>
      </w:r>
      <w:r>
        <w:t>’s Cooperative Technical Partner (CTP) program</w:t>
      </w:r>
      <w:r w:rsidRPr="00DD6986">
        <w:t xml:space="preserve"> to AECOM Technical Services, Inc</w:t>
      </w:r>
      <w:r>
        <w:t xml:space="preserve">.  </w:t>
      </w:r>
      <w:r w:rsidRPr="00DC02A6">
        <w:t>This report documents the BLE process, products, and results for this watershed.</w:t>
      </w:r>
      <w:r w:rsidR="006C2582">
        <w:t xml:space="preserve"> </w:t>
      </w:r>
      <w:r>
        <w:fldChar w:fldCharType="begin"/>
      </w:r>
      <w:r>
        <w:instrText xml:space="preserve"> REF _Ref61247089 \h </w:instrText>
      </w:r>
      <w:r>
        <w:fldChar w:fldCharType="separate"/>
      </w:r>
      <w:r w:rsidR="007D7CA7">
        <w:t xml:space="preserve">Figure </w:t>
      </w:r>
      <w:r w:rsidR="007D7CA7">
        <w:rPr>
          <w:noProof/>
        </w:rPr>
        <w:t>1</w:t>
      </w:r>
      <w:r>
        <w:fldChar w:fldCharType="end"/>
      </w:r>
      <w:r>
        <w:t xml:space="preserve"> </w:t>
      </w:r>
      <w:r w:rsidRPr="00DC02A6">
        <w:t xml:space="preserve">depicts the </w:t>
      </w:r>
      <w:r w:rsidR="000E148A">
        <w:t>Cowhouse</w:t>
      </w:r>
      <w:r w:rsidR="000B4D21">
        <w:t xml:space="preserve"> </w:t>
      </w:r>
      <w:r w:rsidR="005C72F6">
        <w:t>w</w:t>
      </w:r>
      <w:r w:rsidRPr="00DC02A6">
        <w:t>atershed footprint.</w:t>
      </w:r>
    </w:p>
    <w:p w14:paraId="21D5CE2F" w14:textId="127433D6" w:rsidR="00DC02A6" w:rsidRDefault="001C6773" w:rsidP="00192AC2">
      <w:pPr>
        <w:pStyle w:val="BodyText"/>
        <w:keepNext/>
        <w:jc w:val="center"/>
      </w:pPr>
      <w:r w:rsidRPr="001C6773">
        <w:t xml:space="preserve"> </w:t>
      </w:r>
      <w:r w:rsidR="007B7681">
        <w:rPr>
          <w:noProof/>
        </w:rPr>
        <w:drawing>
          <wp:inline distT="0" distB="0" distL="0" distR="0" wp14:anchorId="2A12DF1B" wp14:editId="009F1AF1">
            <wp:extent cx="4738816" cy="6132585"/>
            <wp:effectExtent l="0" t="0" r="5080" b="190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Texas_2d\60631594_TWDB_Navidad_BLE\400_PRODUCTION\Engineering\_workspace\SR\Figure1_Report.jpg"/>
                    <pic:cNvPicPr>
                      <a:picLocks noChangeAspect="1" noChangeArrowheads="1"/>
                    </pic:cNvPicPr>
                  </pic:nvPicPr>
                  <pic:blipFill>
                    <a:blip r:embed="rId13">
                      <a:extLst>
                        <a:ext uri="{28A0092B-C50C-407E-A947-70E740481C1C}">
                          <a14:useLocalDpi xmlns:a14="http://schemas.microsoft.com/office/drawing/2010/main" val="0"/>
                        </a:ext>
                      </a:extLst>
                    </a:blip>
                    <a:stretch>
                      <a:fillRect/>
                    </a:stretch>
                  </pic:blipFill>
                  <pic:spPr bwMode="auto">
                    <a:xfrm>
                      <a:off x="0" y="0"/>
                      <a:ext cx="4738816" cy="6132585"/>
                    </a:xfrm>
                    <a:prstGeom prst="rect">
                      <a:avLst/>
                    </a:prstGeom>
                    <a:noFill/>
                    <a:ln>
                      <a:noFill/>
                    </a:ln>
                    <a:extLst>
                      <a:ext uri="{53640926-AAD7-44D8-BBD7-CCE9431645EC}">
                        <a14:shadowObscured xmlns:a14="http://schemas.microsoft.com/office/drawing/2010/main"/>
                      </a:ext>
                    </a:extLst>
                  </pic:spPr>
                </pic:pic>
              </a:graphicData>
            </a:graphic>
          </wp:inline>
        </w:drawing>
      </w:r>
    </w:p>
    <w:p w14:paraId="2253B525" w14:textId="49B7198C" w:rsidR="00DC02A6" w:rsidRDefault="00DC02A6" w:rsidP="00DC02A6">
      <w:pPr>
        <w:pStyle w:val="Caption"/>
        <w:jc w:val="center"/>
      </w:pPr>
      <w:bookmarkStart w:id="21" w:name="_Ref61247089"/>
      <w:bookmarkStart w:id="22" w:name="_Toc112244155"/>
      <w:r>
        <w:t xml:space="preserve">Figure </w:t>
      </w:r>
      <w:r>
        <w:fldChar w:fldCharType="begin"/>
      </w:r>
      <w:r>
        <w:instrText xml:space="preserve"> SEQ Figure \* ARABIC </w:instrText>
      </w:r>
      <w:r>
        <w:fldChar w:fldCharType="separate"/>
      </w:r>
      <w:r w:rsidR="007D7CA7">
        <w:rPr>
          <w:noProof/>
        </w:rPr>
        <w:t>1</w:t>
      </w:r>
      <w:r>
        <w:fldChar w:fldCharType="end"/>
      </w:r>
      <w:bookmarkEnd w:id="21"/>
      <w:r>
        <w:t xml:space="preserve">: </w:t>
      </w:r>
      <w:r w:rsidR="00F809ED">
        <w:t>Cowhouse</w:t>
      </w:r>
      <w:r w:rsidR="004D511E">
        <w:t xml:space="preserve"> </w:t>
      </w:r>
      <w:r>
        <w:t>Watershed</w:t>
      </w:r>
      <w:bookmarkEnd w:id="22"/>
    </w:p>
    <w:p w14:paraId="00591EA4" w14:textId="77777777" w:rsidR="009F1D77" w:rsidRPr="009F1D77" w:rsidRDefault="009F1D77" w:rsidP="009F1D77">
      <w:pPr>
        <w:pStyle w:val="BodyText"/>
      </w:pPr>
    </w:p>
    <w:p w14:paraId="75F93704" w14:textId="77777777" w:rsidR="003B18BF" w:rsidRPr="00265A9E" w:rsidRDefault="00B225CE" w:rsidP="00CA2219">
      <w:pPr>
        <w:pStyle w:val="Heading1"/>
        <w:numPr>
          <w:ilvl w:val="0"/>
          <w:numId w:val="21"/>
        </w:numPr>
      </w:pPr>
      <w:bookmarkStart w:id="23" w:name="_Ref108891808"/>
      <w:bookmarkStart w:id="24" w:name="_Toc112244116"/>
      <w:r w:rsidRPr="00265A9E">
        <w:lastRenderedPageBreak/>
        <w:t>2D BLE M</w:t>
      </w:r>
      <w:r w:rsidR="00E413BF">
        <w:t>odeling Inputs and Controls</w:t>
      </w:r>
      <w:bookmarkEnd w:id="23"/>
      <w:bookmarkEnd w:id="24"/>
    </w:p>
    <w:p w14:paraId="74C0928E" w14:textId="57301660" w:rsidR="002B752A" w:rsidRPr="002B752A" w:rsidRDefault="002B752A" w:rsidP="002B752A">
      <w:pPr>
        <w:pStyle w:val="BodyText"/>
        <w:rPr>
          <w:b/>
          <w:color w:val="00B5E2" w:themeColor="accent1"/>
          <w:sz w:val="24"/>
        </w:rPr>
      </w:pPr>
      <w:r w:rsidRPr="002B752A">
        <w:t xml:space="preserve">Section </w:t>
      </w:r>
      <w:r w:rsidR="00334858">
        <w:fldChar w:fldCharType="begin"/>
      </w:r>
      <w:r w:rsidR="00334858">
        <w:instrText xml:space="preserve"> REF _Ref108891808 \r \h </w:instrText>
      </w:r>
      <w:r w:rsidR="00334858">
        <w:fldChar w:fldCharType="separate"/>
      </w:r>
      <w:r w:rsidR="007D7CA7">
        <w:t>2</w:t>
      </w:r>
      <w:r w:rsidR="00334858">
        <w:fldChar w:fldCharType="end"/>
      </w:r>
      <w:r w:rsidRPr="002B752A">
        <w:t xml:space="preserve"> presents fundamental components required to execute a 2D hydraulic engineering analysis for the </w:t>
      </w:r>
      <w:r w:rsidR="00CB3ACA">
        <w:t>Cowhouse</w:t>
      </w:r>
      <w:r w:rsidRPr="002B752A">
        <w:rPr>
          <w:color w:val="FF0000"/>
        </w:rPr>
        <w:t xml:space="preserve"> </w:t>
      </w:r>
      <w:r w:rsidR="005C72F6" w:rsidRPr="005C72F6">
        <w:t>w</w:t>
      </w:r>
      <w:r w:rsidRPr="002B752A">
        <w:t>atershed.  Inputs such as elevation data, hydrology from rain-on-grid, and hydraulic analyses and variable</w:t>
      </w:r>
      <w:r w:rsidR="00CB3ACA">
        <w:t>s are defined herein.  HEC-RAS 6.</w:t>
      </w:r>
      <w:r w:rsidR="00D07BAC">
        <w:t>1</w:t>
      </w:r>
      <w:r w:rsidRPr="002B752A">
        <w:t xml:space="preserve"> rain-on-grid utility was applied in the production of the 2D BLE products produced for this watershed. </w:t>
      </w:r>
    </w:p>
    <w:p w14:paraId="1AC354CA" w14:textId="59B3E854" w:rsidR="00E413BF" w:rsidRDefault="00E413BF" w:rsidP="002B752A">
      <w:pPr>
        <w:pStyle w:val="Heading2"/>
      </w:pPr>
      <w:bookmarkStart w:id="25" w:name="_Toc112244117"/>
      <w:r>
        <w:t>T</w:t>
      </w:r>
      <w:r w:rsidR="00901BD9">
        <w:t>opographic Data</w:t>
      </w:r>
      <w:bookmarkEnd w:id="25"/>
    </w:p>
    <w:p w14:paraId="156AC70A" w14:textId="2F48A0AB" w:rsidR="00CF2706" w:rsidRPr="000A48CD" w:rsidRDefault="00CF2706" w:rsidP="00CF2706">
      <w:pPr>
        <w:pStyle w:val="BodyText"/>
      </w:pPr>
      <w:r w:rsidRPr="000A48CD">
        <w:t xml:space="preserve">A high resolution Digital Elevation Model (DEM) is a fundamental component for </w:t>
      </w:r>
      <w:r>
        <w:t xml:space="preserve">2D </w:t>
      </w:r>
      <w:r w:rsidRPr="000A48CD">
        <w:t xml:space="preserve">engineering analyses by providing a detailed </w:t>
      </w:r>
      <w:r w:rsidRPr="001531A9">
        <w:t>representation of the surface for hydraulic routing through the model area.  As such, DEMs were developed for the</w:t>
      </w:r>
      <w:r w:rsidRPr="001531A9">
        <w:rPr>
          <w:color w:val="FF0000"/>
        </w:rPr>
        <w:t xml:space="preserve"> </w:t>
      </w:r>
      <w:r w:rsidR="007B40B2">
        <w:t>Cowhouse</w:t>
      </w:r>
      <w:r w:rsidRPr="000D40D1">
        <w:t xml:space="preserve"> </w:t>
      </w:r>
      <w:r w:rsidRPr="001531A9">
        <w:t>BLE project by leveraging available high resolution gridded elevation data derived from Light Detection and Ranging (LiDAR) collections throughout the State of Texas. The</w:t>
      </w:r>
      <w:r>
        <w:t xml:space="preserve"> 1 meter</w:t>
      </w:r>
      <w:r w:rsidRPr="000A48CD">
        <w:t xml:space="preserve"> DEM developed to support the 2D BLE modeling and analysis, </w:t>
      </w:r>
      <w:r w:rsidRPr="000D40D1">
        <w:t xml:space="preserve">within the </w:t>
      </w:r>
      <w:r w:rsidR="007B40B2">
        <w:t>Cowhouse</w:t>
      </w:r>
      <w:r w:rsidRPr="000D40D1">
        <w:t xml:space="preserve"> </w:t>
      </w:r>
      <w:r>
        <w:t>w</w:t>
      </w:r>
      <w:r w:rsidRPr="000D40D1">
        <w:t>atershed</w:t>
      </w:r>
      <w:r w:rsidRPr="000A48CD">
        <w:t>, was executed using the following steps:</w:t>
      </w:r>
    </w:p>
    <w:p w14:paraId="3C627C3C" w14:textId="77777777" w:rsidR="00CF2706" w:rsidRPr="000A48CD" w:rsidRDefault="00CF2706" w:rsidP="00CF2706">
      <w:pPr>
        <w:pStyle w:val="BodyText"/>
        <w:numPr>
          <w:ilvl w:val="0"/>
          <w:numId w:val="23"/>
        </w:numPr>
      </w:pPr>
      <w:r w:rsidRPr="000A48CD">
        <w:t>Available elevation data for the project area were inventoried and collected.</w:t>
      </w:r>
    </w:p>
    <w:p w14:paraId="2944ED14" w14:textId="77777777" w:rsidR="00CF2706" w:rsidRPr="000A48CD" w:rsidRDefault="00CF2706" w:rsidP="00CF2706">
      <w:pPr>
        <w:pStyle w:val="BodyText"/>
        <w:numPr>
          <w:ilvl w:val="0"/>
          <w:numId w:val="23"/>
        </w:numPr>
      </w:pPr>
      <w:r w:rsidRPr="000A48CD">
        <w:t>Leveraged elevation data were evaluated and prioritized based on source vertical accuracy, year of collection, and resolution.</w:t>
      </w:r>
    </w:p>
    <w:p w14:paraId="5447E597" w14:textId="77777777" w:rsidR="00CF2706" w:rsidRPr="000A48CD" w:rsidRDefault="00CF2706" w:rsidP="00CF2706">
      <w:pPr>
        <w:pStyle w:val="BodyText"/>
        <w:numPr>
          <w:ilvl w:val="0"/>
          <w:numId w:val="23"/>
        </w:numPr>
      </w:pPr>
      <w:r w:rsidRPr="000A48CD">
        <w:t xml:space="preserve">Seamless DEMs were processed using </w:t>
      </w:r>
      <w:r w:rsidRPr="00004B8B">
        <w:rPr>
          <w:szCs w:val="22"/>
        </w:rPr>
        <w:t xml:space="preserve">Geographic Information Systems </w:t>
      </w:r>
      <w:r>
        <w:rPr>
          <w:szCs w:val="22"/>
        </w:rPr>
        <w:t>(</w:t>
      </w:r>
      <w:r w:rsidRPr="000A48CD">
        <w:t>GIS</w:t>
      </w:r>
      <w:r>
        <w:t>)</w:t>
      </w:r>
      <w:r w:rsidRPr="000A48CD">
        <w:t>.</w:t>
      </w:r>
    </w:p>
    <w:p w14:paraId="653FBD13" w14:textId="77777777" w:rsidR="00CF2706" w:rsidRPr="000A48CD" w:rsidRDefault="00CF2706" w:rsidP="00CF2706">
      <w:pPr>
        <w:pStyle w:val="BodyText"/>
        <w:numPr>
          <w:ilvl w:val="0"/>
          <w:numId w:val="23"/>
        </w:numPr>
      </w:pPr>
      <w:r w:rsidRPr="000A48CD">
        <w:t xml:space="preserve">Quality was assured using quantitative and qualitative assessment.  </w:t>
      </w:r>
    </w:p>
    <w:p w14:paraId="59457F55" w14:textId="47BB186A" w:rsidR="00CF2706" w:rsidRPr="000A48CD" w:rsidRDefault="00CF2706" w:rsidP="00CF2706">
      <w:pPr>
        <w:pStyle w:val="BodyText"/>
      </w:pPr>
      <w:r w:rsidRPr="000A48CD">
        <w:t>Documentation regarding leveraged data including coverage, accuracy, acquisition dates, and source contact/agency are presented in the figures, tables and text within</w:t>
      </w:r>
      <w:r>
        <w:t xml:space="preserve"> Section </w:t>
      </w:r>
      <w:r>
        <w:rPr>
          <w:highlight w:val="yellow"/>
        </w:rPr>
        <w:fldChar w:fldCharType="begin"/>
      </w:r>
      <w:r>
        <w:instrText xml:space="preserve"> REF _Ref61591656 \r \h </w:instrText>
      </w:r>
      <w:r>
        <w:rPr>
          <w:highlight w:val="yellow"/>
        </w:rPr>
      </w:r>
      <w:r>
        <w:rPr>
          <w:highlight w:val="yellow"/>
        </w:rPr>
        <w:fldChar w:fldCharType="separate"/>
      </w:r>
      <w:r w:rsidR="007D7CA7">
        <w:t>2.1.2</w:t>
      </w:r>
      <w:r>
        <w:rPr>
          <w:highlight w:val="yellow"/>
        </w:rPr>
        <w:fldChar w:fldCharType="end"/>
      </w:r>
      <w:r w:rsidRPr="000A48CD">
        <w:t xml:space="preserve">.  All vertical accuracy specifications were obtained from the metadata or survey reports provided with the leverage datasets.  All available metadata, survey reports, and other leverage documentation are included in </w:t>
      </w:r>
      <w:r w:rsidRPr="001531A9">
        <w:t>the FEMA Data Capture Technical Reference comp</w:t>
      </w:r>
      <w:r>
        <w:t xml:space="preserve">liant submittal content for the </w:t>
      </w:r>
      <w:r w:rsidR="007B40B2">
        <w:t>Cowhouse</w:t>
      </w:r>
      <w:r w:rsidRPr="001531A9">
        <w:rPr>
          <w:color w:val="FF0000"/>
        </w:rPr>
        <w:t xml:space="preserve"> </w:t>
      </w:r>
      <w:r w:rsidRPr="005C72F6">
        <w:t>watershed</w:t>
      </w:r>
      <w:r w:rsidRPr="001531A9">
        <w:t>.</w:t>
      </w:r>
    </w:p>
    <w:p w14:paraId="5A32BC44" w14:textId="77777777" w:rsidR="00CF2706" w:rsidRDefault="00CF2706" w:rsidP="00CF2706">
      <w:pPr>
        <w:pStyle w:val="Heading3"/>
      </w:pPr>
      <w:bookmarkStart w:id="26" w:name="_Toc111479176"/>
      <w:r>
        <w:t>Inventory</w:t>
      </w:r>
      <w:bookmarkEnd w:id="26"/>
    </w:p>
    <w:p w14:paraId="676D551E" w14:textId="15E78B4A" w:rsidR="00CF2706" w:rsidRDefault="00CF2706" w:rsidP="00CF2706">
      <w:pPr>
        <w:pStyle w:val="BodyText"/>
      </w:pPr>
      <w:r w:rsidRPr="000A48CD">
        <w:t xml:space="preserve">An inventory of existing topographic data was conducted for the </w:t>
      </w:r>
      <w:r w:rsidR="007B40B2">
        <w:t>Cowhouse</w:t>
      </w:r>
      <w:r w:rsidRPr="00187C37">
        <w:rPr>
          <w:color w:val="FF0000"/>
        </w:rPr>
        <w:t xml:space="preserve"> </w:t>
      </w:r>
      <w:r w:rsidRPr="000A48CD">
        <w:t xml:space="preserve">BLE </w:t>
      </w:r>
      <w:r>
        <w:t>watershed</w:t>
      </w:r>
      <w:r w:rsidRPr="000A48CD">
        <w:t xml:space="preserve"> footprint.</w:t>
      </w:r>
      <w:r>
        <w:t xml:space="preserve"> </w:t>
      </w:r>
      <w:r w:rsidRPr="000A48CD">
        <w:t xml:space="preserve"> </w:t>
      </w:r>
      <w:r>
        <w:fldChar w:fldCharType="begin"/>
      </w:r>
      <w:r>
        <w:instrText xml:space="preserve"> REF _Ref61591734 \h </w:instrText>
      </w:r>
      <w:r>
        <w:fldChar w:fldCharType="separate"/>
      </w:r>
      <w:r w:rsidR="007D7CA7">
        <w:t xml:space="preserve">Figure </w:t>
      </w:r>
      <w:r w:rsidR="007D7CA7">
        <w:rPr>
          <w:noProof/>
        </w:rPr>
        <w:t>2</w:t>
      </w:r>
      <w:r>
        <w:fldChar w:fldCharType="end"/>
      </w:r>
      <w:r>
        <w:t xml:space="preserve"> </w:t>
      </w:r>
      <w:r w:rsidRPr="000A48CD">
        <w:t xml:space="preserve">depicts the datasets identified </w:t>
      </w:r>
      <w:r>
        <w:t>and</w:t>
      </w:r>
      <w:r w:rsidRPr="000A48CD">
        <w:t xml:space="preserve"> leveraged across the project area.  FEMA, N</w:t>
      </w:r>
      <w:r>
        <w:t xml:space="preserve">ational </w:t>
      </w:r>
      <w:r w:rsidRPr="000A48CD">
        <w:t>O</w:t>
      </w:r>
      <w:r>
        <w:t xml:space="preserve">ceanic and </w:t>
      </w:r>
      <w:r w:rsidRPr="000A48CD">
        <w:t>A</w:t>
      </w:r>
      <w:r>
        <w:t xml:space="preserve">tmospheric </w:t>
      </w:r>
      <w:r w:rsidRPr="000A48CD">
        <w:t>A</w:t>
      </w:r>
      <w:r>
        <w:t>dministration (NOAA)</w:t>
      </w:r>
      <w:r w:rsidRPr="000A48CD">
        <w:t xml:space="preserve">, </w:t>
      </w:r>
      <w:r>
        <w:t>USGS,</w:t>
      </w:r>
      <w:r w:rsidRPr="000A48CD">
        <w:t xml:space="preserve"> </w:t>
      </w:r>
      <w:r>
        <w:t xml:space="preserve">Texas Natural Resources Information System (TNRIS) </w:t>
      </w:r>
      <w:r w:rsidRPr="000A48CD">
        <w:t>and other State and Federal agencies were queried to build the inventory with the most current and available data sources.</w:t>
      </w:r>
    </w:p>
    <w:p w14:paraId="6867469F" w14:textId="684E3623" w:rsidR="00CF2706" w:rsidRDefault="007B40B2" w:rsidP="00CF2706">
      <w:pPr>
        <w:pStyle w:val="BodyText"/>
        <w:keepNext/>
        <w:jc w:val="center"/>
      </w:pPr>
      <w:r>
        <w:rPr>
          <w:noProof/>
        </w:rPr>
        <w:lastRenderedPageBreak/>
        <w:drawing>
          <wp:inline distT="0" distB="0" distL="0" distR="0" wp14:anchorId="161DF2E1" wp14:editId="15FB6494">
            <wp:extent cx="4718303" cy="3629464"/>
            <wp:effectExtent l="19050" t="19050" r="25400" b="285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4718303" cy="3629464"/>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60D39076" w14:textId="3CEA7D06" w:rsidR="00CF2706" w:rsidRPr="00E56E68" w:rsidRDefault="00CF2706" w:rsidP="007B40B2">
      <w:pPr>
        <w:pStyle w:val="Caption"/>
        <w:jc w:val="center"/>
      </w:pPr>
      <w:bookmarkStart w:id="27" w:name="_Ref61591734"/>
      <w:bookmarkStart w:id="28" w:name="_Toc111479215"/>
      <w:r>
        <w:t xml:space="preserve">Figure </w:t>
      </w:r>
      <w:r>
        <w:fldChar w:fldCharType="begin"/>
      </w:r>
      <w:r>
        <w:instrText xml:space="preserve"> SEQ Figure \* ARABIC </w:instrText>
      </w:r>
      <w:r>
        <w:fldChar w:fldCharType="separate"/>
      </w:r>
      <w:r w:rsidR="007D7CA7">
        <w:rPr>
          <w:noProof/>
        </w:rPr>
        <w:t>2</w:t>
      </w:r>
      <w:r>
        <w:fldChar w:fldCharType="end"/>
      </w:r>
      <w:bookmarkEnd w:id="27"/>
      <w:r>
        <w:t xml:space="preserve">: </w:t>
      </w:r>
      <w:r w:rsidR="007B40B2">
        <w:t>Cowhouse</w:t>
      </w:r>
      <w:r w:rsidRPr="00674855">
        <w:rPr>
          <w:color w:val="FF0000"/>
        </w:rPr>
        <w:t xml:space="preserve"> </w:t>
      </w:r>
      <w:r>
        <w:t>Watershed BLE Source Terrain Data</w:t>
      </w:r>
      <w:bookmarkEnd w:id="28"/>
    </w:p>
    <w:p w14:paraId="2F59E72B" w14:textId="77777777" w:rsidR="00CF2706" w:rsidRDefault="00CF2706" w:rsidP="00CF2706">
      <w:pPr>
        <w:pStyle w:val="Heading3"/>
      </w:pPr>
      <w:bookmarkStart w:id="29" w:name="_Ref61591656"/>
      <w:bookmarkStart w:id="30" w:name="_Toc111479177"/>
      <w:r>
        <w:t>Evaluation</w:t>
      </w:r>
      <w:bookmarkEnd w:id="29"/>
      <w:bookmarkEnd w:id="30"/>
    </w:p>
    <w:p w14:paraId="27063078" w14:textId="77777777" w:rsidR="00CF2706" w:rsidRPr="004D0A69" w:rsidRDefault="00CF2706" w:rsidP="00CF2706">
      <w:pPr>
        <w:pStyle w:val="BodyText"/>
      </w:pPr>
      <w:r w:rsidRPr="004D0A69">
        <w:t>A data coverage assessment was conducted to check for data gaps, extent, accuracy, and completeness.  A review of related documentation, reports, indexes, and metadata associated with the leverage</w:t>
      </w:r>
      <w:r>
        <w:t>d</w:t>
      </w:r>
      <w:r w:rsidRPr="004D0A69">
        <w:t xml:space="preserve"> datasets ensured each dataset meets FEMA accuracy requirements for topographic data.  Decisions to leverage or exclude a dataset (or portion of it), were based generally on the following criteria coupled with engineering judgment:</w:t>
      </w:r>
    </w:p>
    <w:p w14:paraId="337E28E3" w14:textId="77777777" w:rsidR="00CF2706" w:rsidRPr="004D0A69" w:rsidRDefault="00CF2706" w:rsidP="00CF2706">
      <w:pPr>
        <w:pStyle w:val="BodyText"/>
        <w:numPr>
          <w:ilvl w:val="0"/>
          <w:numId w:val="24"/>
        </w:numPr>
      </w:pPr>
      <w:r w:rsidRPr="004D0A69">
        <w:t>Data meet FEMA vertical accuracy standards (</w:t>
      </w:r>
      <w:r>
        <w:fldChar w:fldCharType="begin"/>
      </w:r>
      <w:r>
        <w:instrText xml:space="preserve"> REF _Ref81923729 \h </w:instrText>
      </w:r>
      <w:r>
        <w:fldChar w:fldCharType="separate"/>
      </w:r>
      <w:r w:rsidR="007D7CA7">
        <w:t xml:space="preserve">Table </w:t>
      </w:r>
      <w:r w:rsidR="007D7CA7">
        <w:rPr>
          <w:noProof/>
        </w:rPr>
        <w:t>1</w:t>
      </w:r>
      <w:r>
        <w:fldChar w:fldCharType="end"/>
      </w:r>
      <w:r>
        <w:t>)</w:t>
      </w:r>
    </w:p>
    <w:p w14:paraId="09F35646" w14:textId="77777777" w:rsidR="00CF2706" w:rsidRPr="004D0A69" w:rsidRDefault="00CF2706" w:rsidP="00CF2706">
      <w:pPr>
        <w:pStyle w:val="BodyText"/>
        <w:numPr>
          <w:ilvl w:val="0"/>
          <w:numId w:val="24"/>
        </w:numPr>
      </w:pPr>
      <w:r w:rsidRPr="004D0A69">
        <w:t>Date of origination</w:t>
      </w:r>
    </w:p>
    <w:p w14:paraId="57416BAF" w14:textId="77777777" w:rsidR="00CF2706" w:rsidRPr="004D0A69" w:rsidRDefault="00CF2706" w:rsidP="00CF2706">
      <w:pPr>
        <w:pStyle w:val="BodyText"/>
        <w:numPr>
          <w:ilvl w:val="0"/>
          <w:numId w:val="24"/>
        </w:numPr>
      </w:pPr>
      <w:r w:rsidRPr="004D0A69">
        <w:t>Data density and coverage</w:t>
      </w:r>
    </w:p>
    <w:p w14:paraId="03CCF185" w14:textId="77777777" w:rsidR="00CF2706" w:rsidRDefault="00CF2706" w:rsidP="00CF2706">
      <w:pPr>
        <w:pStyle w:val="BodyText"/>
      </w:pPr>
      <w:r>
        <w:fldChar w:fldCharType="begin"/>
      </w:r>
      <w:r>
        <w:instrText xml:space="preserve"> REF _Ref81923729 \h </w:instrText>
      </w:r>
      <w:r>
        <w:fldChar w:fldCharType="separate"/>
      </w:r>
      <w:r w:rsidR="007D7CA7">
        <w:t xml:space="preserve">Table </w:t>
      </w:r>
      <w:r w:rsidR="007D7CA7">
        <w:rPr>
          <w:noProof/>
        </w:rPr>
        <w:t>1</w:t>
      </w:r>
      <w:r>
        <w:fldChar w:fldCharType="end"/>
      </w:r>
      <w:r>
        <w:t xml:space="preserve"> </w:t>
      </w:r>
      <w:r w:rsidRPr="004D0A69">
        <w:t xml:space="preserve">depicts the Risk </w:t>
      </w:r>
      <w:r>
        <w:t>MAP</w:t>
      </w:r>
      <w:r w:rsidRPr="004D0A69">
        <w:t xml:space="preserve"> SID </w:t>
      </w:r>
      <w:r>
        <w:t>#</w:t>
      </w:r>
      <w:r w:rsidRPr="004D0A69">
        <w:t>43 vertical accuracy requirements based on flood risk and terrain slope within the floodplain being mapped.</w:t>
      </w:r>
    </w:p>
    <w:p w14:paraId="685A1FBB" w14:textId="77777777" w:rsidR="00CF2706" w:rsidRDefault="00CF2706" w:rsidP="00CF2706">
      <w:pPr>
        <w:pStyle w:val="Caption"/>
        <w:jc w:val="center"/>
      </w:pPr>
      <w:bookmarkStart w:id="31" w:name="_Ref81923729"/>
      <w:bookmarkStart w:id="32" w:name="_Toc111479225"/>
      <w:r>
        <w:t xml:space="preserve">Table </w:t>
      </w:r>
      <w:r>
        <w:fldChar w:fldCharType="begin"/>
      </w:r>
      <w:r>
        <w:instrText xml:space="preserve"> SEQ Table \* ARABIC </w:instrText>
      </w:r>
      <w:r>
        <w:fldChar w:fldCharType="separate"/>
      </w:r>
      <w:r w:rsidR="007D7CA7">
        <w:rPr>
          <w:noProof/>
        </w:rPr>
        <w:t>1</w:t>
      </w:r>
      <w:r>
        <w:fldChar w:fldCharType="end"/>
      </w:r>
      <w:bookmarkEnd w:id="31"/>
      <w:r>
        <w:t>: FEMA Vertical Accuracy Requirements for Leveraged Data</w:t>
      </w:r>
      <w:bookmarkEnd w:id="32"/>
    </w:p>
    <w:tbl>
      <w:tblPr>
        <w:tblStyle w:val="CompassTable"/>
        <w:tblW w:w="9323" w:type="dxa"/>
        <w:tblLook w:val="04A0" w:firstRow="1" w:lastRow="0" w:firstColumn="1" w:lastColumn="0" w:noHBand="0" w:noVBand="1"/>
      </w:tblPr>
      <w:tblGrid>
        <w:gridCol w:w="2445"/>
        <w:gridCol w:w="1710"/>
        <w:gridCol w:w="1440"/>
        <w:gridCol w:w="1710"/>
        <w:gridCol w:w="2018"/>
      </w:tblGrid>
      <w:tr w:rsidR="00CF2706" w:rsidRPr="00712569" w14:paraId="12D2AB07" w14:textId="77777777" w:rsidTr="007B40B2">
        <w:trPr>
          <w:cnfStyle w:val="100000000000" w:firstRow="1" w:lastRow="0" w:firstColumn="0" w:lastColumn="0" w:oddVBand="0" w:evenVBand="0" w:oddHBand="0" w:evenHBand="0" w:firstRowFirstColumn="0" w:firstRowLastColumn="0" w:lastRowFirstColumn="0" w:lastRowLastColumn="0"/>
        </w:trPr>
        <w:tc>
          <w:tcPr>
            <w:tcW w:w="0" w:type="dxa"/>
            <w:shd w:val="clear" w:color="auto" w:fill="00B5E2" w:themeFill="accent1"/>
          </w:tcPr>
          <w:p w14:paraId="64802D69" w14:textId="77777777" w:rsidR="00CF2706" w:rsidRPr="00712569" w:rsidRDefault="00CF2706" w:rsidP="007B40B2">
            <w:pPr>
              <w:pStyle w:val="3TableHeading"/>
              <w:keepNext/>
              <w:keepLines/>
              <w:rPr>
                <w:b/>
                <w:szCs w:val="20"/>
              </w:rPr>
            </w:pPr>
            <w:r w:rsidRPr="00712569">
              <w:rPr>
                <w:b/>
                <w:szCs w:val="20"/>
              </w:rPr>
              <w:t>Level of Flood Risk</w:t>
            </w:r>
          </w:p>
        </w:tc>
        <w:tc>
          <w:tcPr>
            <w:tcW w:w="0" w:type="dxa"/>
            <w:shd w:val="clear" w:color="auto" w:fill="00B5E2" w:themeFill="accent1"/>
          </w:tcPr>
          <w:p w14:paraId="245B053D" w14:textId="77777777" w:rsidR="00CF2706" w:rsidRPr="00712569" w:rsidRDefault="00CF2706" w:rsidP="007B40B2">
            <w:pPr>
              <w:pStyle w:val="3TableHeading"/>
              <w:keepNext/>
              <w:keepLines/>
              <w:rPr>
                <w:b/>
                <w:szCs w:val="20"/>
              </w:rPr>
            </w:pPr>
            <w:r w:rsidRPr="00712569">
              <w:rPr>
                <w:b/>
                <w:szCs w:val="20"/>
              </w:rPr>
              <w:t>Typical Slopes</w:t>
            </w:r>
          </w:p>
        </w:tc>
        <w:tc>
          <w:tcPr>
            <w:tcW w:w="0" w:type="dxa"/>
            <w:shd w:val="clear" w:color="auto" w:fill="00B5E2" w:themeFill="accent1"/>
          </w:tcPr>
          <w:p w14:paraId="52E4C4CF" w14:textId="77777777" w:rsidR="00CF2706" w:rsidRPr="00712569" w:rsidRDefault="00CF2706" w:rsidP="007B40B2">
            <w:pPr>
              <w:pStyle w:val="3TableHeading"/>
              <w:keepNext/>
              <w:keepLines/>
              <w:rPr>
                <w:b/>
                <w:szCs w:val="20"/>
              </w:rPr>
            </w:pPr>
            <w:r w:rsidRPr="00712569">
              <w:rPr>
                <w:b/>
                <w:szCs w:val="20"/>
              </w:rPr>
              <w:t>Specification Level</w:t>
            </w:r>
          </w:p>
        </w:tc>
        <w:tc>
          <w:tcPr>
            <w:tcW w:w="0" w:type="dxa"/>
            <w:shd w:val="clear" w:color="auto" w:fill="00B5E2" w:themeFill="accent1"/>
          </w:tcPr>
          <w:p w14:paraId="2D5F1643" w14:textId="77777777" w:rsidR="00CF2706" w:rsidRPr="00712569" w:rsidRDefault="00CF2706" w:rsidP="007B40B2">
            <w:pPr>
              <w:pStyle w:val="3TableHeading"/>
              <w:keepNext/>
              <w:keepLines/>
              <w:rPr>
                <w:b/>
                <w:szCs w:val="20"/>
              </w:rPr>
            </w:pPr>
            <w:r w:rsidRPr="00712569">
              <w:rPr>
                <w:b/>
                <w:szCs w:val="20"/>
              </w:rPr>
              <w:t>Vertical Accuracy*</w:t>
            </w:r>
          </w:p>
        </w:tc>
        <w:tc>
          <w:tcPr>
            <w:tcW w:w="0" w:type="dxa"/>
            <w:shd w:val="clear" w:color="auto" w:fill="00B5E2" w:themeFill="accent1"/>
          </w:tcPr>
          <w:p w14:paraId="33E5D2BF" w14:textId="77777777" w:rsidR="00CF2706" w:rsidRPr="00712569" w:rsidRDefault="00CF2706" w:rsidP="007B40B2">
            <w:pPr>
              <w:pStyle w:val="3TableHeading"/>
              <w:keepNext/>
              <w:keepLines/>
              <w:rPr>
                <w:b/>
                <w:szCs w:val="20"/>
              </w:rPr>
            </w:pPr>
            <w:r w:rsidRPr="00712569">
              <w:rPr>
                <w:b/>
                <w:szCs w:val="20"/>
              </w:rPr>
              <w:t>LiDAR Nominal Pulse Spacing (NPS)</w:t>
            </w:r>
          </w:p>
        </w:tc>
      </w:tr>
      <w:tr w:rsidR="00CF2706" w:rsidRPr="00712569" w14:paraId="1AFAC706" w14:textId="77777777" w:rsidTr="007B40B2">
        <w:trPr>
          <w:cnfStyle w:val="000000100000" w:firstRow="0" w:lastRow="0" w:firstColumn="0" w:lastColumn="0" w:oddVBand="0" w:evenVBand="0" w:oddHBand="1" w:evenHBand="0" w:firstRowFirstColumn="0" w:firstRowLastColumn="0" w:lastRowFirstColumn="0" w:lastRowLastColumn="0"/>
          <w:trHeight w:val="288"/>
        </w:trPr>
        <w:tc>
          <w:tcPr>
            <w:tcW w:w="2445" w:type="dxa"/>
          </w:tcPr>
          <w:p w14:paraId="36F7E384" w14:textId="77777777" w:rsidR="00CF2706" w:rsidRPr="00712569" w:rsidRDefault="00CF2706" w:rsidP="007B40B2">
            <w:pPr>
              <w:pStyle w:val="3TableText"/>
            </w:pPr>
            <w:r w:rsidRPr="00712569">
              <w:t>High (Deciles 1,2,3)</w:t>
            </w:r>
          </w:p>
        </w:tc>
        <w:tc>
          <w:tcPr>
            <w:tcW w:w="1710" w:type="dxa"/>
          </w:tcPr>
          <w:p w14:paraId="5EE00CBA" w14:textId="77777777" w:rsidR="00CF2706" w:rsidRPr="00712569" w:rsidRDefault="00CF2706" w:rsidP="007B40B2">
            <w:pPr>
              <w:pStyle w:val="3TableText"/>
            </w:pPr>
            <w:r w:rsidRPr="00712569">
              <w:t>Flattest</w:t>
            </w:r>
          </w:p>
        </w:tc>
        <w:tc>
          <w:tcPr>
            <w:tcW w:w="1440" w:type="dxa"/>
            <w:vAlign w:val="top"/>
          </w:tcPr>
          <w:p w14:paraId="54552A3D" w14:textId="77777777" w:rsidR="00CF2706" w:rsidRPr="00712569" w:rsidRDefault="00CF2706" w:rsidP="007B40B2">
            <w:pPr>
              <w:pStyle w:val="3TableText"/>
              <w:jc w:val="center"/>
            </w:pPr>
            <w:r w:rsidRPr="00712569">
              <w:t>Highest</w:t>
            </w:r>
          </w:p>
        </w:tc>
        <w:tc>
          <w:tcPr>
            <w:tcW w:w="1710" w:type="dxa"/>
          </w:tcPr>
          <w:p w14:paraId="62424ADD" w14:textId="77777777" w:rsidR="00CF2706" w:rsidRPr="00712569" w:rsidRDefault="00CF2706" w:rsidP="007B40B2">
            <w:pPr>
              <w:pStyle w:val="3TableText"/>
              <w:jc w:val="center"/>
            </w:pPr>
            <w:r w:rsidRPr="00712569">
              <w:t>24.5 cm / 36.3 cm</w:t>
            </w:r>
          </w:p>
        </w:tc>
        <w:tc>
          <w:tcPr>
            <w:tcW w:w="2018" w:type="dxa"/>
          </w:tcPr>
          <w:p w14:paraId="243EDEEC" w14:textId="77777777" w:rsidR="00CF2706" w:rsidRPr="00712569" w:rsidRDefault="00CF2706" w:rsidP="007B40B2">
            <w:pPr>
              <w:pStyle w:val="3TableText"/>
              <w:jc w:val="center"/>
            </w:pPr>
            <w:r w:rsidRPr="00712569">
              <w:t>≤ 2 meters</w:t>
            </w:r>
          </w:p>
        </w:tc>
      </w:tr>
      <w:tr w:rsidR="00CF2706" w:rsidRPr="00712569" w14:paraId="2C532D1C" w14:textId="77777777" w:rsidTr="007B40B2">
        <w:trPr>
          <w:cnfStyle w:val="000000010000" w:firstRow="0" w:lastRow="0" w:firstColumn="0" w:lastColumn="0" w:oddVBand="0" w:evenVBand="0" w:oddHBand="0" w:evenHBand="1" w:firstRowFirstColumn="0" w:firstRowLastColumn="0" w:lastRowFirstColumn="0" w:lastRowLastColumn="0"/>
          <w:trHeight w:val="288"/>
        </w:trPr>
        <w:tc>
          <w:tcPr>
            <w:tcW w:w="2445" w:type="dxa"/>
          </w:tcPr>
          <w:p w14:paraId="21B1E901" w14:textId="77777777" w:rsidR="00CF2706" w:rsidRPr="00712569" w:rsidRDefault="00CF2706" w:rsidP="007B40B2">
            <w:pPr>
              <w:pStyle w:val="3TableText"/>
            </w:pPr>
            <w:r w:rsidRPr="00712569">
              <w:t>High (Deciles 1,2,3)</w:t>
            </w:r>
          </w:p>
        </w:tc>
        <w:tc>
          <w:tcPr>
            <w:tcW w:w="1710" w:type="dxa"/>
          </w:tcPr>
          <w:p w14:paraId="41448B34" w14:textId="77777777" w:rsidR="00CF2706" w:rsidRPr="00712569" w:rsidRDefault="00CF2706" w:rsidP="007B40B2">
            <w:pPr>
              <w:pStyle w:val="3TableText"/>
            </w:pPr>
            <w:r w:rsidRPr="00712569">
              <w:t>Rolling or Hilly</w:t>
            </w:r>
          </w:p>
        </w:tc>
        <w:tc>
          <w:tcPr>
            <w:tcW w:w="1440" w:type="dxa"/>
            <w:vAlign w:val="top"/>
          </w:tcPr>
          <w:p w14:paraId="7D9D1A6F" w14:textId="77777777" w:rsidR="00CF2706" w:rsidRPr="00712569" w:rsidRDefault="00CF2706" w:rsidP="007B40B2">
            <w:pPr>
              <w:pStyle w:val="3TableText"/>
              <w:jc w:val="center"/>
            </w:pPr>
            <w:r w:rsidRPr="00712569">
              <w:t>High</w:t>
            </w:r>
          </w:p>
        </w:tc>
        <w:tc>
          <w:tcPr>
            <w:tcW w:w="1710" w:type="dxa"/>
          </w:tcPr>
          <w:p w14:paraId="0F0C1EA5" w14:textId="77777777" w:rsidR="00CF2706" w:rsidRPr="00712569" w:rsidRDefault="00CF2706" w:rsidP="007B40B2">
            <w:pPr>
              <w:pStyle w:val="3TableText"/>
              <w:jc w:val="center"/>
            </w:pPr>
            <w:r w:rsidRPr="00712569">
              <w:t>49.0 cm / 72.6 cm</w:t>
            </w:r>
          </w:p>
        </w:tc>
        <w:tc>
          <w:tcPr>
            <w:tcW w:w="2018" w:type="dxa"/>
          </w:tcPr>
          <w:p w14:paraId="5F005F41" w14:textId="77777777" w:rsidR="00CF2706" w:rsidRPr="00712569" w:rsidRDefault="00CF2706" w:rsidP="007B40B2">
            <w:pPr>
              <w:pStyle w:val="3TableText"/>
              <w:jc w:val="center"/>
            </w:pPr>
            <w:r w:rsidRPr="00712569">
              <w:t>≤ 2 meters</w:t>
            </w:r>
          </w:p>
        </w:tc>
      </w:tr>
      <w:tr w:rsidR="00CF2706" w:rsidRPr="00712569" w14:paraId="6AE1C408" w14:textId="77777777" w:rsidTr="007B40B2">
        <w:trPr>
          <w:cnfStyle w:val="000000100000" w:firstRow="0" w:lastRow="0" w:firstColumn="0" w:lastColumn="0" w:oddVBand="0" w:evenVBand="0" w:oddHBand="1" w:evenHBand="0" w:firstRowFirstColumn="0" w:firstRowLastColumn="0" w:lastRowFirstColumn="0" w:lastRowLastColumn="0"/>
          <w:trHeight w:val="288"/>
        </w:trPr>
        <w:tc>
          <w:tcPr>
            <w:tcW w:w="2445" w:type="dxa"/>
          </w:tcPr>
          <w:p w14:paraId="0DF6659D" w14:textId="77777777" w:rsidR="00CF2706" w:rsidRPr="00712569" w:rsidRDefault="00CF2706" w:rsidP="007B40B2">
            <w:pPr>
              <w:pStyle w:val="3TableText"/>
              <w:rPr>
                <w:szCs w:val="20"/>
                <w:vertAlign w:val="superscript"/>
              </w:rPr>
            </w:pPr>
            <w:r w:rsidRPr="00712569">
              <w:t>High (Deciles 2,3,4,5)</w:t>
            </w:r>
          </w:p>
        </w:tc>
        <w:tc>
          <w:tcPr>
            <w:tcW w:w="1710" w:type="dxa"/>
          </w:tcPr>
          <w:p w14:paraId="40A4F4BA" w14:textId="77777777" w:rsidR="00CF2706" w:rsidRPr="00712569" w:rsidRDefault="00CF2706" w:rsidP="007B40B2">
            <w:pPr>
              <w:pStyle w:val="3TableText"/>
              <w:rPr>
                <w:szCs w:val="20"/>
              </w:rPr>
            </w:pPr>
            <w:r w:rsidRPr="00712569">
              <w:t>Hilly</w:t>
            </w:r>
          </w:p>
        </w:tc>
        <w:tc>
          <w:tcPr>
            <w:tcW w:w="1440" w:type="dxa"/>
            <w:vAlign w:val="top"/>
          </w:tcPr>
          <w:p w14:paraId="134D625C" w14:textId="77777777" w:rsidR="00CF2706" w:rsidRPr="00712569" w:rsidRDefault="00CF2706" w:rsidP="007B40B2">
            <w:pPr>
              <w:pStyle w:val="3TableText"/>
              <w:jc w:val="center"/>
              <w:rPr>
                <w:szCs w:val="20"/>
              </w:rPr>
            </w:pPr>
            <w:r w:rsidRPr="00712569">
              <w:t>Medium</w:t>
            </w:r>
          </w:p>
        </w:tc>
        <w:tc>
          <w:tcPr>
            <w:tcW w:w="1710" w:type="dxa"/>
          </w:tcPr>
          <w:p w14:paraId="1AC30E49" w14:textId="77777777" w:rsidR="00CF2706" w:rsidRPr="00712569" w:rsidRDefault="00CF2706" w:rsidP="007B40B2">
            <w:pPr>
              <w:pStyle w:val="3TableText"/>
              <w:jc w:val="center"/>
              <w:rPr>
                <w:szCs w:val="20"/>
              </w:rPr>
            </w:pPr>
            <w:r w:rsidRPr="00712569">
              <w:t>98.0 cm / 145 cm</w:t>
            </w:r>
          </w:p>
        </w:tc>
        <w:tc>
          <w:tcPr>
            <w:tcW w:w="2018" w:type="dxa"/>
          </w:tcPr>
          <w:p w14:paraId="4807B619" w14:textId="77777777" w:rsidR="00CF2706" w:rsidRPr="00712569" w:rsidRDefault="00CF2706" w:rsidP="007B40B2">
            <w:pPr>
              <w:pStyle w:val="3TableText"/>
              <w:jc w:val="center"/>
            </w:pPr>
            <w:r w:rsidRPr="00712569">
              <w:t>≤ 3.5 meters</w:t>
            </w:r>
          </w:p>
        </w:tc>
      </w:tr>
      <w:tr w:rsidR="00CF2706" w:rsidRPr="00712569" w14:paraId="463627E5" w14:textId="77777777" w:rsidTr="007B40B2">
        <w:trPr>
          <w:cnfStyle w:val="000000010000" w:firstRow="0" w:lastRow="0" w:firstColumn="0" w:lastColumn="0" w:oddVBand="0" w:evenVBand="0" w:oddHBand="0" w:evenHBand="1" w:firstRowFirstColumn="0" w:firstRowLastColumn="0" w:lastRowFirstColumn="0" w:lastRowLastColumn="0"/>
          <w:trHeight w:val="288"/>
        </w:trPr>
        <w:tc>
          <w:tcPr>
            <w:tcW w:w="2445" w:type="dxa"/>
          </w:tcPr>
          <w:p w14:paraId="722A56C5" w14:textId="77777777" w:rsidR="00CF2706" w:rsidRPr="00712569" w:rsidRDefault="00CF2706" w:rsidP="007B40B2">
            <w:pPr>
              <w:pStyle w:val="3TableText"/>
              <w:rPr>
                <w:szCs w:val="20"/>
                <w:vertAlign w:val="superscript"/>
              </w:rPr>
            </w:pPr>
            <w:r w:rsidRPr="00712569">
              <w:t>Medium (Deciles 3,4,5,6,7)</w:t>
            </w:r>
          </w:p>
        </w:tc>
        <w:tc>
          <w:tcPr>
            <w:tcW w:w="1710" w:type="dxa"/>
          </w:tcPr>
          <w:p w14:paraId="5D4FCB1C" w14:textId="77777777" w:rsidR="00CF2706" w:rsidRPr="00712569" w:rsidRDefault="00CF2706" w:rsidP="007B40B2">
            <w:pPr>
              <w:pStyle w:val="3TableText"/>
              <w:rPr>
                <w:szCs w:val="20"/>
              </w:rPr>
            </w:pPr>
            <w:r w:rsidRPr="00712569">
              <w:t>Flattest</w:t>
            </w:r>
          </w:p>
        </w:tc>
        <w:tc>
          <w:tcPr>
            <w:tcW w:w="1440" w:type="dxa"/>
            <w:vAlign w:val="top"/>
          </w:tcPr>
          <w:p w14:paraId="592FE1A3" w14:textId="77777777" w:rsidR="00CF2706" w:rsidRPr="00712569" w:rsidRDefault="00CF2706" w:rsidP="007B40B2">
            <w:pPr>
              <w:pStyle w:val="3TableText"/>
              <w:jc w:val="center"/>
              <w:rPr>
                <w:szCs w:val="20"/>
              </w:rPr>
            </w:pPr>
            <w:r w:rsidRPr="00712569">
              <w:t>High</w:t>
            </w:r>
          </w:p>
        </w:tc>
        <w:tc>
          <w:tcPr>
            <w:tcW w:w="1710" w:type="dxa"/>
          </w:tcPr>
          <w:p w14:paraId="1CF01CB5" w14:textId="77777777" w:rsidR="00CF2706" w:rsidRPr="00712569" w:rsidRDefault="00CF2706" w:rsidP="007B40B2">
            <w:pPr>
              <w:pStyle w:val="3TableText"/>
              <w:jc w:val="center"/>
              <w:rPr>
                <w:szCs w:val="20"/>
              </w:rPr>
            </w:pPr>
            <w:r w:rsidRPr="00712569">
              <w:t>49.0 cm / 72.6 cm</w:t>
            </w:r>
          </w:p>
        </w:tc>
        <w:tc>
          <w:tcPr>
            <w:tcW w:w="2018" w:type="dxa"/>
          </w:tcPr>
          <w:p w14:paraId="428A1436" w14:textId="77777777" w:rsidR="00CF2706" w:rsidRPr="00712569" w:rsidRDefault="00CF2706" w:rsidP="007B40B2">
            <w:pPr>
              <w:pStyle w:val="3TableText"/>
              <w:jc w:val="center"/>
            </w:pPr>
            <w:r w:rsidRPr="00712569">
              <w:t>≤ 2 meters</w:t>
            </w:r>
          </w:p>
        </w:tc>
      </w:tr>
      <w:tr w:rsidR="00CF2706" w:rsidRPr="00712569" w14:paraId="0EAA74CB" w14:textId="77777777" w:rsidTr="007B40B2">
        <w:trPr>
          <w:cnfStyle w:val="000000100000" w:firstRow="0" w:lastRow="0" w:firstColumn="0" w:lastColumn="0" w:oddVBand="0" w:evenVBand="0" w:oddHBand="1" w:evenHBand="0" w:firstRowFirstColumn="0" w:firstRowLastColumn="0" w:lastRowFirstColumn="0" w:lastRowLastColumn="0"/>
          <w:trHeight w:val="288"/>
        </w:trPr>
        <w:tc>
          <w:tcPr>
            <w:tcW w:w="2445" w:type="dxa"/>
          </w:tcPr>
          <w:p w14:paraId="26A55296" w14:textId="77777777" w:rsidR="00CF2706" w:rsidRPr="00712569" w:rsidRDefault="00CF2706" w:rsidP="007B40B2">
            <w:pPr>
              <w:pStyle w:val="3TableText"/>
              <w:rPr>
                <w:szCs w:val="20"/>
                <w:vertAlign w:val="superscript"/>
              </w:rPr>
            </w:pPr>
            <w:r w:rsidRPr="00712569">
              <w:t>Medium (Deciles 3,4,5,6,7)</w:t>
            </w:r>
          </w:p>
        </w:tc>
        <w:tc>
          <w:tcPr>
            <w:tcW w:w="1710" w:type="dxa"/>
          </w:tcPr>
          <w:p w14:paraId="2F5E0887" w14:textId="77777777" w:rsidR="00CF2706" w:rsidRPr="00712569" w:rsidRDefault="00CF2706" w:rsidP="007B40B2">
            <w:pPr>
              <w:pStyle w:val="3TableText"/>
              <w:rPr>
                <w:szCs w:val="20"/>
              </w:rPr>
            </w:pPr>
            <w:r w:rsidRPr="00712569">
              <w:t>Rolling</w:t>
            </w:r>
          </w:p>
        </w:tc>
        <w:tc>
          <w:tcPr>
            <w:tcW w:w="1440" w:type="dxa"/>
            <w:vAlign w:val="top"/>
          </w:tcPr>
          <w:p w14:paraId="4579FA2F" w14:textId="77777777" w:rsidR="00CF2706" w:rsidRPr="00712569" w:rsidRDefault="00CF2706" w:rsidP="007B40B2">
            <w:pPr>
              <w:pStyle w:val="3TableText"/>
              <w:jc w:val="center"/>
              <w:rPr>
                <w:szCs w:val="20"/>
              </w:rPr>
            </w:pPr>
            <w:r w:rsidRPr="00712569">
              <w:t>Medium</w:t>
            </w:r>
          </w:p>
        </w:tc>
        <w:tc>
          <w:tcPr>
            <w:tcW w:w="1710" w:type="dxa"/>
          </w:tcPr>
          <w:p w14:paraId="737FC06D" w14:textId="77777777" w:rsidR="00CF2706" w:rsidRPr="00712569" w:rsidRDefault="00CF2706" w:rsidP="007B40B2">
            <w:pPr>
              <w:pStyle w:val="3TableText"/>
              <w:jc w:val="center"/>
              <w:rPr>
                <w:szCs w:val="20"/>
              </w:rPr>
            </w:pPr>
            <w:r w:rsidRPr="00712569">
              <w:t>98.0 cm / 145 cm</w:t>
            </w:r>
          </w:p>
        </w:tc>
        <w:tc>
          <w:tcPr>
            <w:tcW w:w="2018" w:type="dxa"/>
          </w:tcPr>
          <w:p w14:paraId="07061042" w14:textId="77777777" w:rsidR="00CF2706" w:rsidRPr="00712569" w:rsidRDefault="00CF2706" w:rsidP="007B40B2">
            <w:pPr>
              <w:pStyle w:val="3TableText"/>
              <w:jc w:val="center"/>
            </w:pPr>
            <w:r w:rsidRPr="00712569">
              <w:t>≤ 3.5 meters</w:t>
            </w:r>
          </w:p>
        </w:tc>
      </w:tr>
      <w:tr w:rsidR="00CF2706" w:rsidRPr="00712569" w14:paraId="5236FE11" w14:textId="77777777" w:rsidTr="007B40B2">
        <w:trPr>
          <w:cnfStyle w:val="000000010000" w:firstRow="0" w:lastRow="0" w:firstColumn="0" w:lastColumn="0" w:oddVBand="0" w:evenVBand="0" w:oddHBand="0" w:evenHBand="1" w:firstRowFirstColumn="0" w:firstRowLastColumn="0" w:lastRowFirstColumn="0" w:lastRowLastColumn="0"/>
          <w:trHeight w:val="288"/>
        </w:trPr>
        <w:tc>
          <w:tcPr>
            <w:tcW w:w="2445" w:type="dxa"/>
          </w:tcPr>
          <w:p w14:paraId="3C4F47CB" w14:textId="77777777" w:rsidR="00CF2706" w:rsidRPr="00712569" w:rsidRDefault="00CF2706" w:rsidP="007B40B2">
            <w:pPr>
              <w:pStyle w:val="3TableText"/>
              <w:rPr>
                <w:szCs w:val="20"/>
                <w:vertAlign w:val="superscript"/>
              </w:rPr>
            </w:pPr>
            <w:r w:rsidRPr="00712569">
              <w:t>Medium (Deciles 3,4,5,6,7)</w:t>
            </w:r>
          </w:p>
        </w:tc>
        <w:tc>
          <w:tcPr>
            <w:tcW w:w="1710" w:type="dxa"/>
          </w:tcPr>
          <w:p w14:paraId="48820B7D" w14:textId="77777777" w:rsidR="00CF2706" w:rsidRPr="00712569" w:rsidRDefault="00CF2706" w:rsidP="007B40B2">
            <w:pPr>
              <w:pStyle w:val="3TableText"/>
              <w:rPr>
                <w:szCs w:val="20"/>
              </w:rPr>
            </w:pPr>
            <w:r w:rsidRPr="00712569">
              <w:t>Hilly</w:t>
            </w:r>
          </w:p>
        </w:tc>
        <w:tc>
          <w:tcPr>
            <w:tcW w:w="1440" w:type="dxa"/>
            <w:vAlign w:val="top"/>
          </w:tcPr>
          <w:p w14:paraId="3FFFA4F5" w14:textId="77777777" w:rsidR="00CF2706" w:rsidRPr="00712569" w:rsidRDefault="00CF2706" w:rsidP="007B40B2">
            <w:pPr>
              <w:pStyle w:val="3TableText"/>
              <w:jc w:val="center"/>
              <w:rPr>
                <w:szCs w:val="20"/>
              </w:rPr>
            </w:pPr>
            <w:r w:rsidRPr="00712569">
              <w:t>Low</w:t>
            </w:r>
          </w:p>
        </w:tc>
        <w:tc>
          <w:tcPr>
            <w:tcW w:w="1710" w:type="dxa"/>
          </w:tcPr>
          <w:p w14:paraId="4D683015" w14:textId="77777777" w:rsidR="00CF2706" w:rsidRPr="00712569" w:rsidRDefault="00CF2706" w:rsidP="007B40B2">
            <w:pPr>
              <w:pStyle w:val="3TableText"/>
              <w:jc w:val="center"/>
              <w:rPr>
                <w:szCs w:val="20"/>
              </w:rPr>
            </w:pPr>
            <w:r w:rsidRPr="00712569">
              <w:t>147 cm / 218 cm</w:t>
            </w:r>
          </w:p>
        </w:tc>
        <w:tc>
          <w:tcPr>
            <w:tcW w:w="2018" w:type="dxa"/>
          </w:tcPr>
          <w:p w14:paraId="310970BE" w14:textId="77777777" w:rsidR="00CF2706" w:rsidRPr="00712569" w:rsidRDefault="00CF2706" w:rsidP="007B40B2">
            <w:pPr>
              <w:pStyle w:val="3TableText"/>
              <w:jc w:val="center"/>
            </w:pPr>
            <w:r w:rsidRPr="00712569">
              <w:t>≤ 5 meters</w:t>
            </w:r>
          </w:p>
        </w:tc>
      </w:tr>
      <w:tr w:rsidR="00CF2706" w:rsidRPr="00712569" w14:paraId="3926D5F1" w14:textId="77777777" w:rsidTr="007B40B2">
        <w:trPr>
          <w:cnfStyle w:val="000000100000" w:firstRow="0" w:lastRow="0" w:firstColumn="0" w:lastColumn="0" w:oddVBand="0" w:evenVBand="0" w:oddHBand="1" w:evenHBand="0" w:firstRowFirstColumn="0" w:firstRowLastColumn="0" w:lastRowFirstColumn="0" w:lastRowLastColumn="0"/>
          <w:trHeight w:val="288"/>
        </w:trPr>
        <w:tc>
          <w:tcPr>
            <w:tcW w:w="2445" w:type="dxa"/>
          </w:tcPr>
          <w:p w14:paraId="22BDB23C" w14:textId="77777777" w:rsidR="00CF2706" w:rsidRPr="00712569" w:rsidRDefault="00CF2706" w:rsidP="007B40B2">
            <w:pPr>
              <w:pStyle w:val="3TableText"/>
              <w:rPr>
                <w:szCs w:val="20"/>
                <w:vertAlign w:val="superscript"/>
              </w:rPr>
            </w:pPr>
            <w:r w:rsidRPr="00712569">
              <w:t>Low (Deciles 7,8,9,10)</w:t>
            </w:r>
          </w:p>
        </w:tc>
        <w:tc>
          <w:tcPr>
            <w:tcW w:w="1710" w:type="dxa"/>
          </w:tcPr>
          <w:p w14:paraId="626B7C64" w14:textId="77777777" w:rsidR="00CF2706" w:rsidRPr="00712569" w:rsidRDefault="00CF2706" w:rsidP="007B40B2">
            <w:pPr>
              <w:pStyle w:val="3TableText"/>
              <w:rPr>
                <w:szCs w:val="20"/>
              </w:rPr>
            </w:pPr>
            <w:r w:rsidRPr="00712569">
              <w:t>All</w:t>
            </w:r>
          </w:p>
        </w:tc>
        <w:tc>
          <w:tcPr>
            <w:tcW w:w="1440" w:type="dxa"/>
            <w:vAlign w:val="top"/>
          </w:tcPr>
          <w:p w14:paraId="508FE4F0" w14:textId="77777777" w:rsidR="00CF2706" w:rsidRPr="00712569" w:rsidRDefault="00CF2706" w:rsidP="007B40B2">
            <w:pPr>
              <w:pStyle w:val="3TableText"/>
              <w:jc w:val="center"/>
              <w:rPr>
                <w:szCs w:val="20"/>
              </w:rPr>
            </w:pPr>
            <w:r w:rsidRPr="00712569">
              <w:t>Low</w:t>
            </w:r>
          </w:p>
        </w:tc>
        <w:tc>
          <w:tcPr>
            <w:tcW w:w="1710" w:type="dxa"/>
          </w:tcPr>
          <w:p w14:paraId="3B4EB882" w14:textId="77777777" w:rsidR="00CF2706" w:rsidRPr="00712569" w:rsidRDefault="00CF2706" w:rsidP="007B40B2">
            <w:pPr>
              <w:pStyle w:val="3TableText"/>
              <w:jc w:val="center"/>
              <w:rPr>
                <w:szCs w:val="20"/>
              </w:rPr>
            </w:pPr>
            <w:r w:rsidRPr="00712569">
              <w:t>147 cm / 218 cm</w:t>
            </w:r>
          </w:p>
        </w:tc>
        <w:tc>
          <w:tcPr>
            <w:tcW w:w="2018" w:type="dxa"/>
          </w:tcPr>
          <w:p w14:paraId="56092D97" w14:textId="77777777" w:rsidR="00CF2706" w:rsidRPr="00712569" w:rsidRDefault="00CF2706" w:rsidP="007B40B2">
            <w:pPr>
              <w:pStyle w:val="3TableText"/>
              <w:jc w:val="center"/>
            </w:pPr>
            <w:r w:rsidRPr="00712569">
              <w:t>≤ 5 meters</w:t>
            </w:r>
          </w:p>
        </w:tc>
      </w:tr>
    </w:tbl>
    <w:p w14:paraId="21EA6175" w14:textId="77777777" w:rsidR="00CF2706" w:rsidRDefault="00CF2706" w:rsidP="00CF2706">
      <w:pPr>
        <w:pStyle w:val="BodyText"/>
      </w:pPr>
      <w:r>
        <w:t>*Vertical Accuracy at 95% Confidence Level (FVA or NVA)/(CVA or VVA)</w:t>
      </w:r>
    </w:p>
    <w:bookmarkStart w:id="33" w:name="_Toc432412967"/>
    <w:p w14:paraId="37A9965A" w14:textId="305BA632" w:rsidR="00CF2706" w:rsidRDefault="00CF2706" w:rsidP="00CF2706">
      <w:pPr>
        <w:pStyle w:val="BodyText"/>
      </w:pPr>
      <w:r>
        <w:lastRenderedPageBreak/>
        <w:fldChar w:fldCharType="begin"/>
      </w:r>
      <w:r>
        <w:instrText xml:space="preserve"> REF _Ref85201199 \h </w:instrText>
      </w:r>
      <w:r>
        <w:fldChar w:fldCharType="separate"/>
      </w:r>
      <w:r w:rsidR="007D7CA7">
        <w:t xml:space="preserve">Table </w:t>
      </w:r>
      <w:r w:rsidR="007D7CA7">
        <w:rPr>
          <w:noProof/>
        </w:rPr>
        <w:t>2</w:t>
      </w:r>
      <w:r>
        <w:fldChar w:fldCharType="end"/>
      </w:r>
      <w:r>
        <w:t xml:space="preserve"> depicts the complete list of source elevation data and attributes leveraged for the </w:t>
      </w:r>
      <w:r w:rsidR="007B40B2">
        <w:t>Cowhouse</w:t>
      </w:r>
      <w:r>
        <w:t xml:space="preserve"> </w:t>
      </w:r>
      <w:r w:rsidRPr="005C72F6">
        <w:t>watershed</w:t>
      </w:r>
      <w:r w:rsidRPr="001531A9">
        <w:t xml:space="preserve">. </w:t>
      </w:r>
      <w:r>
        <w:t xml:space="preserve"> </w:t>
      </w:r>
      <w:r w:rsidRPr="004D0A69">
        <w:t xml:space="preserve">All datasets used for hydraulic analyses and mapping meet the highest specification level defined in </w:t>
      </w:r>
      <w:r>
        <w:fldChar w:fldCharType="begin"/>
      </w:r>
      <w:r>
        <w:instrText xml:space="preserve"> REF _Ref81923729 \h </w:instrText>
      </w:r>
      <w:r>
        <w:fldChar w:fldCharType="separate"/>
      </w:r>
      <w:r w:rsidR="007D7CA7">
        <w:t xml:space="preserve">Table </w:t>
      </w:r>
      <w:r w:rsidR="007D7CA7">
        <w:rPr>
          <w:noProof/>
        </w:rPr>
        <w:t>1</w:t>
      </w:r>
      <w:r>
        <w:fldChar w:fldCharType="end"/>
      </w:r>
      <w:r w:rsidRPr="004D0A69">
        <w:t>.</w:t>
      </w:r>
      <w:r>
        <w:t xml:space="preserve"> </w:t>
      </w:r>
      <w:r w:rsidRPr="004D0A69">
        <w:t xml:space="preserve"> </w:t>
      </w:r>
      <w:r w:rsidRPr="001531A9">
        <w:t>The following datasets were evaluated and prioritized as best available:</w:t>
      </w:r>
    </w:p>
    <w:p w14:paraId="7FF9D428" w14:textId="012E334D" w:rsidR="00CF2706" w:rsidRDefault="00CF2706" w:rsidP="00CF2706">
      <w:pPr>
        <w:pStyle w:val="Caption"/>
        <w:jc w:val="center"/>
      </w:pPr>
      <w:bookmarkStart w:id="34" w:name="_Ref85201199"/>
      <w:bookmarkStart w:id="35" w:name="_Toc111479226"/>
      <w:r>
        <w:t xml:space="preserve">Table </w:t>
      </w:r>
      <w:r>
        <w:fldChar w:fldCharType="begin"/>
      </w:r>
      <w:r>
        <w:instrText xml:space="preserve"> SEQ Table \* ARABIC </w:instrText>
      </w:r>
      <w:r>
        <w:fldChar w:fldCharType="separate"/>
      </w:r>
      <w:r w:rsidR="007D7CA7">
        <w:rPr>
          <w:noProof/>
        </w:rPr>
        <w:t>2</w:t>
      </w:r>
      <w:r>
        <w:fldChar w:fldCharType="end"/>
      </w:r>
      <w:bookmarkEnd w:id="34"/>
      <w:r>
        <w:t xml:space="preserve">: LiDAR Topographic Data Available for the </w:t>
      </w:r>
      <w:r w:rsidR="007B40B2">
        <w:t>Cowhouse</w:t>
      </w:r>
      <w:r>
        <w:t xml:space="preserve"> Watershed</w:t>
      </w:r>
      <w:bookmarkEnd w:id="35"/>
    </w:p>
    <w:tbl>
      <w:tblPr>
        <w:tblStyle w:val="CompassTable"/>
        <w:tblW w:w="9323" w:type="dxa"/>
        <w:tblLook w:val="04A0" w:firstRow="1" w:lastRow="0" w:firstColumn="1" w:lastColumn="0" w:noHBand="0" w:noVBand="1"/>
      </w:tblPr>
      <w:tblGrid>
        <w:gridCol w:w="647"/>
        <w:gridCol w:w="4078"/>
        <w:gridCol w:w="1431"/>
        <w:gridCol w:w="1164"/>
        <w:gridCol w:w="2003"/>
      </w:tblGrid>
      <w:tr w:rsidR="00CF2706" w:rsidRPr="00712569" w14:paraId="5E4E3038" w14:textId="77777777" w:rsidTr="007B40B2">
        <w:trPr>
          <w:cnfStyle w:val="100000000000" w:firstRow="1" w:lastRow="0" w:firstColumn="0" w:lastColumn="0" w:oddVBand="0" w:evenVBand="0" w:oddHBand="0" w:evenHBand="0" w:firstRowFirstColumn="0" w:firstRowLastColumn="0" w:lastRowFirstColumn="0" w:lastRowLastColumn="0"/>
        </w:trPr>
        <w:tc>
          <w:tcPr>
            <w:tcW w:w="647" w:type="dxa"/>
            <w:shd w:val="clear" w:color="auto" w:fill="00B5E2" w:themeFill="accent1"/>
          </w:tcPr>
          <w:p w14:paraId="2E4CFE17" w14:textId="77777777" w:rsidR="00CF2706" w:rsidRPr="00712569" w:rsidRDefault="00CF2706" w:rsidP="007B40B2">
            <w:pPr>
              <w:pStyle w:val="3TableHeading"/>
              <w:keepNext/>
              <w:keepLines/>
              <w:rPr>
                <w:b/>
                <w:szCs w:val="20"/>
              </w:rPr>
            </w:pPr>
            <w:r>
              <w:rPr>
                <w:b/>
                <w:szCs w:val="20"/>
              </w:rPr>
              <w:t>Year</w:t>
            </w:r>
          </w:p>
        </w:tc>
        <w:tc>
          <w:tcPr>
            <w:tcW w:w="4078" w:type="dxa"/>
            <w:shd w:val="clear" w:color="auto" w:fill="00B5E2" w:themeFill="accent1"/>
          </w:tcPr>
          <w:p w14:paraId="5ABC800F" w14:textId="77777777" w:rsidR="00CF2706" w:rsidRPr="00712569" w:rsidRDefault="00CF2706" w:rsidP="007B40B2">
            <w:pPr>
              <w:pStyle w:val="3TableHeading"/>
              <w:keepNext/>
              <w:keepLines/>
              <w:rPr>
                <w:b/>
                <w:szCs w:val="20"/>
              </w:rPr>
            </w:pPr>
            <w:r>
              <w:rPr>
                <w:b/>
                <w:szCs w:val="20"/>
              </w:rPr>
              <w:t>Description</w:t>
            </w:r>
          </w:p>
        </w:tc>
        <w:tc>
          <w:tcPr>
            <w:tcW w:w="1431" w:type="dxa"/>
            <w:shd w:val="clear" w:color="auto" w:fill="00B5E2" w:themeFill="accent1"/>
          </w:tcPr>
          <w:p w14:paraId="0C89B923" w14:textId="77777777" w:rsidR="00CF2706" w:rsidRPr="00712569" w:rsidRDefault="00CF2706" w:rsidP="007B40B2">
            <w:pPr>
              <w:pStyle w:val="3TableHeading"/>
              <w:keepNext/>
              <w:keepLines/>
              <w:rPr>
                <w:b/>
                <w:szCs w:val="20"/>
              </w:rPr>
            </w:pPr>
            <w:r>
              <w:rPr>
                <w:b/>
                <w:szCs w:val="20"/>
              </w:rPr>
              <w:t>Source/Owner</w:t>
            </w:r>
          </w:p>
        </w:tc>
        <w:tc>
          <w:tcPr>
            <w:tcW w:w="1164" w:type="dxa"/>
            <w:shd w:val="clear" w:color="auto" w:fill="00B5E2" w:themeFill="accent1"/>
          </w:tcPr>
          <w:p w14:paraId="1A902698" w14:textId="77777777" w:rsidR="00CF2706" w:rsidRPr="00712569" w:rsidRDefault="00CF2706" w:rsidP="007B40B2">
            <w:pPr>
              <w:pStyle w:val="3TableHeading"/>
              <w:keepNext/>
              <w:keepLines/>
              <w:rPr>
                <w:b/>
                <w:szCs w:val="20"/>
              </w:rPr>
            </w:pPr>
            <w:r>
              <w:rPr>
                <w:b/>
                <w:szCs w:val="20"/>
              </w:rPr>
              <w:t>Accuracy</w:t>
            </w:r>
            <w:r w:rsidRPr="00D35186">
              <w:rPr>
                <w:szCs w:val="20"/>
                <w:vertAlign w:val="superscript"/>
              </w:rPr>
              <w:t>1</w:t>
            </w:r>
          </w:p>
        </w:tc>
        <w:tc>
          <w:tcPr>
            <w:tcW w:w="2003" w:type="dxa"/>
            <w:shd w:val="clear" w:color="auto" w:fill="00B5E2" w:themeFill="accent1"/>
          </w:tcPr>
          <w:p w14:paraId="27255582" w14:textId="77777777" w:rsidR="00CF2706" w:rsidRPr="0024587E" w:rsidRDefault="00CF2706" w:rsidP="007B40B2">
            <w:pPr>
              <w:pStyle w:val="3TableHeading"/>
              <w:keepNext/>
              <w:keepLines/>
              <w:rPr>
                <w:b/>
                <w:szCs w:val="20"/>
              </w:rPr>
            </w:pPr>
            <w:r w:rsidRPr="0024587E">
              <w:rPr>
                <w:b/>
                <w:szCs w:val="20"/>
              </w:rPr>
              <w:t>Approximate Footprint (</w:t>
            </w:r>
            <w:r>
              <w:rPr>
                <w:b/>
                <w:szCs w:val="20"/>
              </w:rPr>
              <w:t>Sq. Mi.</w:t>
            </w:r>
            <w:r w:rsidRPr="0024587E">
              <w:rPr>
                <w:b/>
                <w:szCs w:val="20"/>
              </w:rPr>
              <w:t>i)</w:t>
            </w:r>
            <w:r w:rsidRPr="0024587E">
              <w:rPr>
                <w:szCs w:val="20"/>
                <w:vertAlign w:val="superscript"/>
              </w:rPr>
              <w:t>2</w:t>
            </w:r>
          </w:p>
        </w:tc>
      </w:tr>
      <w:tr w:rsidR="007B40B2" w:rsidRPr="00712569" w14:paraId="1332E424" w14:textId="77777777" w:rsidTr="007B40B2">
        <w:trPr>
          <w:cnfStyle w:val="000000100000" w:firstRow="0" w:lastRow="0" w:firstColumn="0" w:lastColumn="0" w:oddVBand="0" w:evenVBand="0" w:oddHBand="1" w:evenHBand="0" w:firstRowFirstColumn="0" w:firstRowLastColumn="0" w:lastRowFirstColumn="0" w:lastRowLastColumn="0"/>
          <w:trHeight w:val="288"/>
        </w:trPr>
        <w:tc>
          <w:tcPr>
            <w:tcW w:w="647" w:type="dxa"/>
          </w:tcPr>
          <w:p w14:paraId="789CC5EF" w14:textId="7DA7ADF3" w:rsidR="007B40B2" w:rsidRPr="00EC0029" w:rsidRDefault="007B40B2" w:rsidP="007B40B2">
            <w:pPr>
              <w:pStyle w:val="3TableText"/>
              <w:rPr>
                <w:rFonts w:cs="Calibri"/>
                <w:szCs w:val="20"/>
              </w:rPr>
            </w:pPr>
            <w:r>
              <w:rPr>
                <w:rFonts w:cs="Calibri"/>
                <w:szCs w:val="20"/>
              </w:rPr>
              <w:t>2017</w:t>
            </w:r>
          </w:p>
        </w:tc>
        <w:tc>
          <w:tcPr>
            <w:tcW w:w="4078" w:type="dxa"/>
          </w:tcPr>
          <w:p w14:paraId="316249C0" w14:textId="5600F085" w:rsidR="007B40B2" w:rsidRPr="00EC0029" w:rsidRDefault="007B40B2" w:rsidP="007B40B2">
            <w:pPr>
              <w:pStyle w:val="3TableText"/>
              <w:rPr>
                <w:rFonts w:cs="Calibri"/>
                <w:szCs w:val="20"/>
              </w:rPr>
            </w:pPr>
            <w:r>
              <w:rPr>
                <w:rFonts w:cs="Calibri"/>
                <w:szCs w:val="20"/>
              </w:rPr>
              <w:t>2017 FEMA Region 6 TX – Brazos River Quality Level (QL) 2</w:t>
            </w:r>
          </w:p>
        </w:tc>
        <w:tc>
          <w:tcPr>
            <w:tcW w:w="1431" w:type="dxa"/>
          </w:tcPr>
          <w:p w14:paraId="22B42232" w14:textId="1BA6478F" w:rsidR="007B40B2" w:rsidRPr="00EC0029" w:rsidRDefault="007B40B2" w:rsidP="007B40B2">
            <w:pPr>
              <w:pStyle w:val="3TableText"/>
              <w:jc w:val="center"/>
              <w:rPr>
                <w:rFonts w:cs="Calibri"/>
                <w:szCs w:val="20"/>
              </w:rPr>
            </w:pPr>
            <w:r>
              <w:rPr>
                <w:rFonts w:cs="Calibri"/>
                <w:szCs w:val="20"/>
              </w:rPr>
              <w:t>FEMA</w:t>
            </w:r>
          </w:p>
        </w:tc>
        <w:tc>
          <w:tcPr>
            <w:tcW w:w="1164" w:type="dxa"/>
          </w:tcPr>
          <w:p w14:paraId="73908AAA" w14:textId="7AFCC543" w:rsidR="007B40B2" w:rsidRPr="00EC0029" w:rsidRDefault="007B40B2" w:rsidP="007B40B2">
            <w:pPr>
              <w:pStyle w:val="3TableText"/>
              <w:jc w:val="center"/>
              <w:rPr>
                <w:rFonts w:cs="Calibri"/>
                <w:szCs w:val="20"/>
              </w:rPr>
            </w:pPr>
            <w:r>
              <w:rPr>
                <w:rFonts w:cs="Calibri"/>
                <w:szCs w:val="20"/>
              </w:rPr>
              <w:t>7.9 cm</w:t>
            </w:r>
          </w:p>
        </w:tc>
        <w:tc>
          <w:tcPr>
            <w:tcW w:w="2003" w:type="dxa"/>
          </w:tcPr>
          <w:p w14:paraId="0B2485EF" w14:textId="0745B0D9" w:rsidR="007B40B2" w:rsidRPr="0024587E" w:rsidRDefault="007B40B2" w:rsidP="007B40B2">
            <w:pPr>
              <w:pStyle w:val="3TableText"/>
              <w:jc w:val="center"/>
              <w:rPr>
                <w:rFonts w:cs="Calibri"/>
                <w:szCs w:val="20"/>
              </w:rPr>
            </w:pPr>
            <w:r>
              <w:rPr>
                <w:rFonts w:cs="Calibri"/>
                <w:szCs w:val="20"/>
              </w:rPr>
              <w:t>700.4</w:t>
            </w:r>
          </w:p>
        </w:tc>
      </w:tr>
      <w:tr w:rsidR="007B40B2" w:rsidRPr="00712569" w14:paraId="38260B59" w14:textId="77777777" w:rsidTr="007B40B2">
        <w:trPr>
          <w:cnfStyle w:val="000000010000" w:firstRow="0" w:lastRow="0" w:firstColumn="0" w:lastColumn="0" w:oddVBand="0" w:evenVBand="0" w:oddHBand="0" w:evenHBand="1" w:firstRowFirstColumn="0" w:firstRowLastColumn="0" w:lastRowFirstColumn="0" w:lastRowLastColumn="0"/>
          <w:trHeight w:val="288"/>
        </w:trPr>
        <w:tc>
          <w:tcPr>
            <w:tcW w:w="647" w:type="dxa"/>
          </w:tcPr>
          <w:p w14:paraId="2266E30A" w14:textId="2C76EE1A" w:rsidR="007B40B2" w:rsidRPr="00EC0029" w:rsidRDefault="007B40B2" w:rsidP="007B40B2">
            <w:pPr>
              <w:pStyle w:val="3TableText"/>
              <w:rPr>
                <w:rFonts w:cs="Calibri"/>
                <w:szCs w:val="20"/>
              </w:rPr>
            </w:pPr>
            <w:r>
              <w:rPr>
                <w:rFonts w:cs="Calibri"/>
                <w:szCs w:val="20"/>
              </w:rPr>
              <w:t>2014</w:t>
            </w:r>
          </w:p>
        </w:tc>
        <w:tc>
          <w:tcPr>
            <w:tcW w:w="4078" w:type="dxa"/>
          </w:tcPr>
          <w:p w14:paraId="6020C5AE" w14:textId="32DDC2E1" w:rsidR="007B40B2" w:rsidRPr="00EC0029" w:rsidRDefault="007B40B2" w:rsidP="007B40B2">
            <w:pPr>
              <w:pStyle w:val="3TableText"/>
              <w:rPr>
                <w:rFonts w:cs="Calibri"/>
                <w:szCs w:val="20"/>
              </w:rPr>
            </w:pPr>
            <w:r>
              <w:rPr>
                <w:rFonts w:cs="Calibri"/>
                <w:szCs w:val="20"/>
              </w:rPr>
              <w:t>2014 TNRIS LiDAR: Central Texas (Lampasas)</w:t>
            </w:r>
          </w:p>
        </w:tc>
        <w:tc>
          <w:tcPr>
            <w:tcW w:w="1431" w:type="dxa"/>
            <w:vAlign w:val="top"/>
          </w:tcPr>
          <w:p w14:paraId="644C9640" w14:textId="46EE8C59" w:rsidR="007B40B2" w:rsidRPr="00EC0029" w:rsidRDefault="007B40B2" w:rsidP="007B40B2">
            <w:pPr>
              <w:pStyle w:val="3TableText"/>
              <w:jc w:val="center"/>
              <w:rPr>
                <w:rFonts w:cs="Calibri"/>
                <w:szCs w:val="20"/>
              </w:rPr>
            </w:pPr>
            <w:r>
              <w:rPr>
                <w:rFonts w:cs="Calibri"/>
                <w:szCs w:val="20"/>
              </w:rPr>
              <w:t>TNRIS</w:t>
            </w:r>
          </w:p>
        </w:tc>
        <w:tc>
          <w:tcPr>
            <w:tcW w:w="1164" w:type="dxa"/>
          </w:tcPr>
          <w:p w14:paraId="692D009F" w14:textId="1A13E8FA" w:rsidR="007B40B2" w:rsidRPr="00EC0029" w:rsidRDefault="007B40B2" w:rsidP="007B40B2">
            <w:pPr>
              <w:pStyle w:val="3TableText"/>
              <w:jc w:val="center"/>
              <w:rPr>
                <w:rFonts w:cs="Calibri"/>
                <w:szCs w:val="20"/>
              </w:rPr>
            </w:pPr>
            <w:r>
              <w:rPr>
                <w:rFonts w:cs="Calibri"/>
                <w:szCs w:val="20"/>
              </w:rPr>
              <w:t>8.577 cm</w:t>
            </w:r>
          </w:p>
        </w:tc>
        <w:tc>
          <w:tcPr>
            <w:tcW w:w="2003" w:type="dxa"/>
          </w:tcPr>
          <w:p w14:paraId="7E7DB8C3" w14:textId="3287DE82" w:rsidR="007B40B2" w:rsidRPr="0024587E" w:rsidRDefault="007B40B2" w:rsidP="007B40B2">
            <w:pPr>
              <w:pStyle w:val="3TableText"/>
              <w:jc w:val="center"/>
              <w:rPr>
                <w:rFonts w:cs="Calibri"/>
                <w:szCs w:val="20"/>
              </w:rPr>
            </w:pPr>
            <w:r>
              <w:rPr>
                <w:rFonts w:cs="Calibri"/>
                <w:szCs w:val="20"/>
              </w:rPr>
              <w:t>49.0</w:t>
            </w:r>
          </w:p>
        </w:tc>
      </w:tr>
      <w:tr w:rsidR="007B40B2" w:rsidRPr="00712569" w14:paraId="7257D97D" w14:textId="77777777" w:rsidTr="007B40B2">
        <w:trPr>
          <w:cnfStyle w:val="000000100000" w:firstRow="0" w:lastRow="0" w:firstColumn="0" w:lastColumn="0" w:oddVBand="0" w:evenVBand="0" w:oddHBand="1" w:evenHBand="0" w:firstRowFirstColumn="0" w:firstRowLastColumn="0" w:lastRowFirstColumn="0" w:lastRowLastColumn="0"/>
          <w:trHeight w:val="64"/>
        </w:trPr>
        <w:tc>
          <w:tcPr>
            <w:tcW w:w="647" w:type="dxa"/>
          </w:tcPr>
          <w:p w14:paraId="268E2E93" w14:textId="5C39B84D" w:rsidR="007B40B2" w:rsidRPr="00EC0029" w:rsidRDefault="007B40B2" w:rsidP="007B40B2">
            <w:pPr>
              <w:pStyle w:val="3TableText"/>
              <w:rPr>
                <w:rFonts w:cs="Calibri"/>
                <w:szCs w:val="20"/>
                <w:vertAlign w:val="superscript"/>
              </w:rPr>
            </w:pPr>
            <w:r>
              <w:rPr>
                <w:rFonts w:cs="Calibri"/>
                <w:szCs w:val="20"/>
              </w:rPr>
              <w:t>2011</w:t>
            </w:r>
          </w:p>
        </w:tc>
        <w:tc>
          <w:tcPr>
            <w:tcW w:w="4078" w:type="dxa"/>
          </w:tcPr>
          <w:p w14:paraId="379D7DB1" w14:textId="605C26CD" w:rsidR="007B40B2" w:rsidRPr="00EC0029" w:rsidRDefault="007B40B2" w:rsidP="007B40B2">
            <w:pPr>
              <w:pStyle w:val="3TableText"/>
              <w:rPr>
                <w:rFonts w:cs="Calibri"/>
                <w:szCs w:val="20"/>
              </w:rPr>
            </w:pPr>
            <w:r>
              <w:rPr>
                <w:rFonts w:cs="Calibri"/>
                <w:szCs w:val="20"/>
              </w:rPr>
              <w:t>2011 TNRIS LiDAR: Bell, Burnet, and McLennan Counties</w:t>
            </w:r>
          </w:p>
        </w:tc>
        <w:tc>
          <w:tcPr>
            <w:tcW w:w="1431" w:type="dxa"/>
          </w:tcPr>
          <w:p w14:paraId="2FEBC34C" w14:textId="7EBE0F2D" w:rsidR="007B40B2" w:rsidRPr="00EC0029" w:rsidRDefault="007B40B2" w:rsidP="007B40B2">
            <w:pPr>
              <w:pStyle w:val="3TableText"/>
              <w:jc w:val="center"/>
              <w:rPr>
                <w:rFonts w:cs="Calibri"/>
                <w:szCs w:val="20"/>
              </w:rPr>
            </w:pPr>
            <w:r>
              <w:rPr>
                <w:rFonts w:cs="Calibri"/>
                <w:szCs w:val="20"/>
              </w:rPr>
              <w:t>TNRIS</w:t>
            </w:r>
          </w:p>
        </w:tc>
        <w:tc>
          <w:tcPr>
            <w:tcW w:w="1164" w:type="dxa"/>
          </w:tcPr>
          <w:p w14:paraId="02B005D7" w14:textId="63870EB6" w:rsidR="007B40B2" w:rsidRPr="00EC0029" w:rsidRDefault="007B40B2" w:rsidP="007B40B2">
            <w:pPr>
              <w:pStyle w:val="3TableText"/>
              <w:jc w:val="center"/>
              <w:rPr>
                <w:rFonts w:cs="Calibri"/>
                <w:szCs w:val="20"/>
              </w:rPr>
            </w:pPr>
            <w:r>
              <w:rPr>
                <w:rFonts w:cs="Calibri"/>
                <w:szCs w:val="20"/>
              </w:rPr>
              <w:t>9.445 cm</w:t>
            </w:r>
          </w:p>
        </w:tc>
        <w:tc>
          <w:tcPr>
            <w:tcW w:w="2003" w:type="dxa"/>
          </w:tcPr>
          <w:p w14:paraId="35DCCAAB" w14:textId="3C230E21" w:rsidR="007B40B2" w:rsidRPr="0024587E" w:rsidRDefault="007B40B2" w:rsidP="007B40B2">
            <w:pPr>
              <w:pStyle w:val="3TableText"/>
              <w:jc w:val="center"/>
              <w:rPr>
                <w:rFonts w:cs="Calibri"/>
                <w:szCs w:val="20"/>
              </w:rPr>
            </w:pPr>
            <w:r>
              <w:rPr>
                <w:rFonts w:cs="Calibri"/>
                <w:szCs w:val="20"/>
              </w:rPr>
              <w:t>224.3</w:t>
            </w:r>
          </w:p>
        </w:tc>
      </w:tr>
    </w:tbl>
    <w:p w14:paraId="2F3F7950" w14:textId="77777777" w:rsidR="00CF2706" w:rsidRPr="0098555D" w:rsidRDefault="00CF2706" w:rsidP="00CF2706">
      <w:pPr>
        <w:pStyle w:val="BodyText"/>
        <w:spacing w:after="0" w:line="240" w:lineRule="auto"/>
        <w:rPr>
          <w:sz w:val="16"/>
          <w:szCs w:val="16"/>
        </w:rPr>
      </w:pPr>
      <w:r w:rsidRPr="0098555D">
        <w:rPr>
          <w:sz w:val="16"/>
          <w:szCs w:val="16"/>
          <w:vertAlign w:val="superscript"/>
        </w:rPr>
        <w:t>1</w:t>
      </w:r>
      <w:r w:rsidRPr="0098555D">
        <w:rPr>
          <w:sz w:val="16"/>
          <w:szCs w:val="16"/>
        </w:rPr>
        <w:t>RMSEz reported at the 95% confidence level</w:t>
      </w:r>
    </w:p>
    <w:p w14:paraId="311DB0EE" w14:textId="77777777" w:rsidR="00CF2706" w:rsidRPr="0098555D" w:rsidRDefault="00CF2706" w:rsidP="00CF2706">
      <w:pPr>
        <w:pStyle w:val="BodyText"/>
        <w:rPr>
          <w:sz w:val="16"/>
          <w:szCs w:val="16"/>
        </w:rPr>
      </w:pPr>
      <w:r w:rsidRPr="0098555D">
        <w:rPr>
          <w:sz w:val="16"/>
          <w:szCs w:val="16"/>
          <w:vertAlign w:val="superscript"/>
        </w:rPr>
        <w:t>2</w:t>
      </w:r>
      <w:r w:rsidRPr="0098555D">
        <w:rPr>
          <w:sz w:val="16"/>
          <w:szCs w:val="16"/>
        </w:rPr>
        <w:t>Size of LiDAR DEM footprint utilized for BLE study</w:t>
      </w:r>
      <w:bookmarkEnd w:id="33"/>
    </w:p>
    <w:p w14:paraId="5B195D25" w14:textId="203F6C94" w:rsidR="00CF2706" w:rsidRDefault="007B40B2" w:rsidP="00CF2706">
      <w:pPr>
        <w:pStyle w:val="Heading4"/>
      </w:pPr>
      <w:bookmarkStart w:id="36" w:name="_Toc111479178"/>
      <w:r>
        <w:t>Cowhouse</w:t>
      </w:r>
      <w:r w:rsidR="00CF2706">
        <w:t xml:space="preserve"> Watershed Source Terrain Data</w:t>
      </w:r>
      <w:bookmarkEnd w:id="36"/>
    </w:p>
    <w:p w14:paraId="7717479A" w14:textId="717B8295" w:rsidR="00CF2706" w:rsidRDefault="00CF2706" w:rsidP="00CF2706">
      <w:pPr>
        <w:pStyle w:val="BodyText"/>
      </w:pPr>
      <w:r w:rsidRPr="006D72FD">
        <w:t xml:space="preserve">The source elevation data for the </w:t>
      </w:r>
      <w:r w:rsidR="007B40B2">
        <w:t>Cowhouse</w:t>
      </w:r>
      <w:r w:rsidRPr="006D72FD">
        <w:t xml:space="preserve"> </w:t>
      </w:r>
      <w:r w:rsidRPr="005C72F6">
        <w:t>watershed</w:t>
      </w:r>
      <w:r w:rsidRPr="006D72FD">
        <w:t xml:space="preserve"> are DEMs derived from </w:t>
      </w:r>
      <w:r w:rsidR="00614CF7">
        <w:t>the 2017 FEMA Region 6 TX – Brazos River Quality Level (QL) 2, 2014 TNRIS LiDAR: Central Texas (Lampasas), and the 2011 TNRIS LiDAR: Bell, Burnet, and McLennan Counties LiDAR</w:t>
      </w:r>
      <w:r>
        <w:t>.</w:t>
      </w:r>
      <w:r w:rsidRPr="006D72FD">
        <w:t xml:space="preserve"> </w:t>
      </w:r>
      <w:r>
        <w:t>Only points c</w:t>
      </w:r>
      <w:r w:rsidRPr="006D72FD">
        <w:t xml:space="preserve">lassified as “ground” points (i.e., bare earth) were imported from the LiDAR and used for development of the project DEMs. Bare-earth LiDAR data are typically made by filtering non-ground returns (e.g. buildings, vegetation, etc.) from the raw laser returns. </w:t>
      </w:r>
      <w:r w:rsidRPr="006D72FD">
        <w:fldChar w:fldCharType="begin"/>
      </w:r>
      <w:r w:rsidRPr="006D72FD">
        <w:instrText xml:space="preserve"> REF _Ref61591734 \h  \* MERGEFORMAT </w:instrText>
      </w:r>
      <w:r w:rsidRPr="006D72FD">
        <w:fldChar w:fldCharType="separate"/>
      </w:r>
      <w:r w:rsidR="007D7CA7">
        <w:t>Figure 2</w:t>
      </w:r>
      <w:r w:rsidRPr="006D72FD">
        <w:fldChar w:fldCharType="end"/>
      </w:r>
      <w:r w:rsidRPr="006D72FD">
        <w:t xml:space="preserve"> depicts the extent of the data defined in </w:t>
      </w:r>
      <w:r w:rsidRPr="006D72FD">
        <w:fldChar w:fldCharType="begin"/>
      </w:r>
      <w:r w:rsidRPr="006D72FD">
        <w:instrText xml:space="preserve"> REF _Ref85201199 \h  \* MERGEFORMAT </w:instrText>
      </w:r>
      <w:r w:rsidRPr="006D72FD">
        <w:fldChar w:fldCharType="separate"/>
      </w:r>
      <w:r w:rsidR="007D7CA7">
        <w:t>Table 2</w:t>
      </w:r>
      <w:r w:rsidRPr="006D72FD">
        <w:fldChar w:fldCharType="end"/>
      </w:r>
      <w:r w:rsidRPr="006D72FD">
        <w:t>.</w:t>
      </w:r>
    </w:p>
    <w:p w14:paraId="5322E61D" w14:textId="78B7F584" w:rsidR="00CF2706" w:rsidRDefault="00614CF7" w:rsidP="00CF2706">
      <w:pPr>
        <w:pStyle w:val="BodyText"/>
        <w:rPr>
          <w:rFonts w:asciiTheme="majorHAnsi" w:eastAsiaTheme="majorEastAsia" w:hAnsiTheme="majorHAnsi" w:cstheme="majorBidi"/>
          <w:b/>
          <w:color w:val="00B5E2" w:themeColor="accent1"/>
        </w:rPr>
      </w:pPr>
      <w:r w:rsidRPr="00A12F95">
        <w:rPr>
          <w:rFonts w:asciiTheme="majorHAnsi" w:eastAsiaTheme="majorEastAsia" w:hAnsiTheme="majorHAnsi" w:cstheme="majorBidi"/>
          <w:b/>
          <w:color w:val="00B5E2" w:themeColor="accent1"/>
        </w:rPr>
        <w:t>2017 FEMA Region 6 TX – Brazos River Quality Level (QL) 2</w:t>
      </w:r>
    </w:p>
    <w:p w14:paraId="3BD6CBEA" w14:textId="77777777" w:rsidR="00614CF7" w:rsidRDefault="00614CF7" w:rsidP="00614CF7">
      <w:pPr>
        <w:pStyle w:val="BodyText"/>
      </w:pPr>
      <w:r>
        <w:t>The area covered by the Brazos portion of the Texas Red River FEMA Region 6 Lidar project includes the counties of Archer, Baylor, Bell, Bosque, Brown, Callahan, Coleman, Comanche, Coryell, Dickens, Eastland, Erath, Fisher, Hamilton, Jack, Jones, King, Knox, Lampasas, McLennan, Mills, Palo Pinto, Runnels, Shackelford, Stephens, Stonewall, Taylor, Throckmorton, and Young. The lidar aerial acquisition was conducted between January 1, 2017 and May 28, 2018. The horizontal datum for the data was North American Datum of 1983 (NAD83 CORS 2011) Universal Transverse Mercator (UTM) Zone 14N with units in meters and the vertical datum is North American Vertical Datum of 1988 (NAVD88) with the elevation units in meters realized with GEOID12B.</w:t>
      </w:r>
    </w:p>
    <w:p w14:paraId="7CE2DA72" w14:textId="3A59B217" w:rsidR="00CF2706" w:rsidRPr="0093134A" w:rsidRDefault="00614CF7" w:rsidP="00614CF7">
      <w:pPr>
        <w:pStyle w:val="BodyText"/>
      </w:pPr>
      <w:r>
        <w:t>For the Brazos Basin Texas FEMA R6 Lidar Project, the tested RMSEz of the classified lidar data is 7.9cm</w:t>
      </w:r>
      <w:r w:rsidR="00CF2706">
        <w:t>.</w:t>
      </w:r>
    </w:p>
    <w:p w14:paraId="25E3478B" w14:textId="2F9AD273" w:rsidR="00CF2706" w:rsidRPr="00E66D88" w:rsidRDefault="00614CF7" w:rsidP="00CF2706">
      <w:pPr>
        <w:pStyle w:val="BodyText"/>
        <w:rPr>
          <w:rFonts w:asciiTheme="majorHAnsi" w:eastAsiaTheme="majorEastAsia" w:hAnsiTheme="majorHAnsi" w:cstheme="majorBidi"/>
          <w:b/>
          <w:color w:val="00B5E2" w:themeColor="accent1"/>
        </w:rPr>
      </w:pPr>
      <w:r w:rsidRPr="00A12F95">
        <w:rPr>
          <w:rFonts w:asciiTheme="majorHAnsi" w:eastAsiaTheme="majorEastAsia" w:hAnsiTheme="majorHAnsi" w:cstheme="majorBidi"/>
          <w:b/>
          <w:color w:val="00B5E2" w:themeColor="accent1"/>
        </w:rPr>
        <w:t>2014 TNRIS LiDAR: Central Texas (Lampasa</w:t>
      </w:r>
      <w:r>
        <w:rPr>
          <w:rFonts w:asciiTheme="majorHAnsi" w:eastAsiaTheme="majorEastAsia" w:hAnsiTheme="majorHAnsi" w:cstheme="majorBidi"/>
          <w:b/>
          <w:color w:val="00B5E2" w:themeColor="accent1"/>
        </w:rPr>
        <w:t>s</w:t>
      </w:r>
      <w:r w:rsidRPr="00A12F95">
        <w:rPr>
          <w:rFonts w:asciiTheme="majorHAnsi" w:eastAsiaTheme="majorEastAsia" w:hAnsiTheme="majorHAnsi" w:cstheme="majorBidi"/>
          <w:b/>
          <w:color w:val="00B5E2" w:themeColor="accent1"/>
        </w:rPr>
        <w:t>)</w:t>
      </w:r>
    </w:p>
    <w:p w14:paraId="1B3C6A34" w14:textId="13196BA9" w:rsidR="00CF2706" w:rsidRDefault="00614CF7" w:rsidP="00CF2706">
      <w:pPr>
        <w:pStyle w:val="BodyText"/>
        <w:keepNext/>
        <w:rPr>
          <w:szCs w:val="22"/>
        </w:rPr>
      </w:pPr>
      <w:r w:rsidRPr="00A12F95">
        <w:t>The area covered by the 2014 TNRIS Central Texas Lidar Project includes three separate Areas of Interest (AOIs) covering approximately 3,250 square miles of 10 counties in Texas. The Lampasas portion of the 2014 TNRIS Central Texas Lidar project includes portions of Burnet and Lampasas counties. The lidar aerial acquisition was conducted between December 18, 2013 and January 25, 2014. The horizontal datum for the data was NAD83 (NSRS 2011) UTM Zone 14N with units in meters and the vertical datum is NAVD88 with elevation units in meters realized with GEOID12A. For the 29 checkpoints in the Lampasas AOI, the lidar tested at 8.577cm fundamental vertical accuracy (FVA) at 95% confidence level in open terrain using RMSEz x 1.9600</w:t>
      </w:r>
      <w:r w:rsidR="00CF2706">
        <w:rPr>
          <w:szCs w:val="22"/>
        </w:rPr>
        <w:t>.</w:t>
      </w:r>
    </w:p>
    <w:p w14:paraId="77C30409" w14:textId="7DBB71D2" w:rsidR="00CF2706" w:rsidRPr="00E66D88" w:rsidRDefault="00614CF7" w:rsidP="00CF2706">
      <w:pPr>
        <w:pStyle w:val="BodyText"/>
        <w:rPr>
          <w:rFonts w:asciiTheme="majorHAnsi" w:eastAsiaTheme="majorEastAsia" w:hAnsiTheme="majorHAnsi" w:cstheme="majorBidi"/>
          <w:b/>
          <w:color w:val="00B5E2" w:themeColor="accent1"/>
        </w:rPr>
      </w:pPr>
      <w:r w:rsidRPr="00A12F95">
        <w:rPr>
          <w:rFonts w:asciiTheme="majorHAnsi" w:eastAsiaTheme="majorEastAsia" w:hAnsiTheme="majorHAnsi" w:cstheme="majorBidi"/>
          <w:b/>
          <w:color w:val="00B5E2" w:themeColor="accent1"/>
        </w:rPr>
        <w:t>2011 TNRIS LiDAR: Bell, Burnet, and McLennan Counties</w:t>
      </w:r>
    </w:p>
    <w:p w14:paraId="2C89936A" w14:textId="77777777" w:rsidR="00614CF7" w:rsidRDefault="00614CF7" w:rsidP="00CF2706">
      <w:pPr>
        <w:pStyle w:val="BodyText"/>
      </w:pPr>
      <w:r w:rsidRPr="0011605E">
        <w:t>The area covered by the 2011 TNRIS Lidar: Bell, Burnet, and McLennan Counties project is approximately 2,349 square miles and includes portions of Bell, Burnet, Coryell, Falls, Lampasas, and McLennan counties. The lidar aerial acquisition was conducted between March 11, 2011 and July 1, 2011. The horizontal datum of the data was NAD83 UTM Zone 14N with units in meters and the vertical datum of the data was NAVD88 with elevation units in meters realized with GEOID03. The lidar data tested at 9.445cm RMSEz</w:t>
      </w:r>
      <w:r w:rsidR="00CF2706" w:rsidRPr="005D1A9E">
        <w:t>.</w:t>
      </w:r>
    </w:p>
    <w:p w14:paraId="6BC4E41E" w14:textId="77777777" w:rsidR="00614CF7" w:rsidRDefault="00614CF7">
      <w:pPr>
        <w:tabs>
          <w:tab w:val="clear" w:pos="284"/>
        </w:tabs>
        <w:spacing w:line="240" w:lineRule="auto"/>
      </w:pPr>
      <w:r>
        <w:br w:type="page"/>
      </w:r>
    </w:p>
    <w:p w14:paraId="0CD18166" w14:textId="77777777" w:rsidR="00CF2706" w:rsidRDefault="00CF2706" w:rsidP="00CF2706">
      <w:pPr>
        <w:pStyle w:val="Heading3"/>
      </w:pPr>
      <w:bookmarkStart w:id="37" w:name="_Toc111479179"/>
      <w:r>
        <w:lastRenderedPageBreak/>
        <w:t>Data Processing</w:t>
      </w:r>
      <w:bookmarkEnd w:id="37"/>
    </w:p>
    <w:p w14:paraId="5C5DE73E" w14:textId="21318689" w:rsidR="00CF2706" w:rsidRPr="0063201D" w:rsidRDefault="00CF2706" w:rsidP="00CF2706">
      <w:pPr>
        <w:pStyle w:val="BodyText"/>
        <w:jc w:val="both"/>
        <w:rPr>
          <w:szCs w:val="22"/>
        </w:rPr>
      </w:pPr>
      <w:r>
        <w:rPr>
          <w:szCs w:val="22"/>
        </w:rPr>
        <w:t>ArcGIS</w:t>
      </w:r>
      <w:r w:rsidRPr="0063201D">
        <w:rPr>
          <w:szCs w:val="22"/>
        </w:rPr>
        <w:t xml:space="preserve"> software was utilized in order to create a digital surface model for the </w:t>
      </w:r>
      <w:r w:rsidR="00614CF7">
        <w:rPr>
          <w:szCs w:val="22"/>
        </w:rPr>
        <w:t>Cowhouse</w:t>
      </w:r>
      <w:r w:rsidRPr="0063201D">
        <w:rPr>
          <w:szCs w:val="22"/>
        </w:rPr>
        <w:t xml:space="preserve"> HUC</w:t>
      </w:r>
      <w:r>
        <w:rPr>
          <w:szCs w:val="22"/>
        </w:rPr>
        <w:t>-</w:t>
      </w:r>
      <w:r w:rsidRPr="0063201D">
        <w:rPr>
          <w:szCs w:val="22"/>
        </w:rPr>
        <w:t xml:space="preserve">8 </w:t>
      </w:r>
      <w:r>
        <w:rPr>
          <w:szCs w:val="22"/>
        </w:rPr>
        <w:t>w</w:t>
      </w:r>
      <w:r w:rsidRPr="0063201D">
        <w:rPr>
          <w:szCs w:val="22"/>
        </w:rPr>
        <w:t xml:space="preserve">atershed project area. </w:t>
      </w:r>
      <w:r>
        <w:rPr>
          <w:szCs w:val="22"/>
        </w:rPr>
        <w:t xml:space="preserve">The LiDAR datasets were added to a mosaic dataset and prioritized by date with the most recent dataset taking the first priority. If two datasets are from the same year or flown at similar dates, the accuracy was reviewed to determine the priority. The mosaic dataset was exported to make a seamless bare earth </w:t>
      </w:r>
      <w:r w:rsidRPr="00334C87">
        <w:rPr>
          <w:szCs w:val="22"/>
        </w:rPr>
        <w:t>1-meter DEM for mapping and modeling according to the model area extents, including a 1,000 foot buffer</w:t>
      </w:r>
      <w:r>
        <w:rPr>
          <w:szCs w:val="22"/>
        </w:rPr>
        <w:t>.</w:t>
      </w:r>
      <w:r w:rsidRPr="0063201D">
        <w:rPr>
          <w:szCs w:val="22"/>
        </w:rPr>
        <w:t xml:space="preserve"> </w:t>
      </w:r>
    </w:p>
    <w:p w14:paraId="197D106A" w14:textId="77777777" w:rsidR="00CF2706" w:rsidRDefault="00CF2706" w:rsidP="00CF2706">
      <w:pPr>
        <w:pStyle w:val="BodyText"/>
        <w:jc w:val="both"/>
        <w:rPr>
          <w:szCs w:val="22"/>
        </w:rPr>
      </w:pPr>
      <w:r>
        <w:rPr>
          <w:szCs w:val="22"/>
        </w:rPr>
        <w:t>The exported DEM was reviewed through automated quality control (QC) to check for anomalies and outlier locations based on slope and cells that exceed z value differences from surrounding cells.  Visual review was also performed to check for ground differences at the extents of the datasets for differences in ground values.</w:t>
      </w:r>
    </w:p>
    <w:p w14:paraId="6DEB72A5" w14:textId="77777777" w:rsidR="00CF2706" w:rsidRDefault="00CF2706" w:rsidP="00CF2706">
      <w:pPr>
        <w:pStyle w:val="Heading3"/>
      </w:pPr>
      <w:bookmarkStart w:id="38" w:name="_Toc111479180"/>
      <w:r>
        <w:t>DEM QA/QC</w:t>
      </w:r>
      <w:bookmarkEnd w:id="38"/>
    </w:p>
    <w:p w14:paraId="7C9A105C" w14:textId="7E8FC97F" w:rsidR="00CF2706" w:rsidRPr="000B5E8E" w:rsidRDefault="00CF2706" w:rsidP="00CF2706">
      <w:pPr>
        <w:pStyle w:val="BodyText"/>
      </w:pPr>
      <w:r w:rsidRPr="000B5E8E">
        <w:t xml:space="preserve">DEMs developed for use in </w:t>
      </w:r>
      <w:r>
        <w:t xml:space="preserve">the </w:t>
      </w:r>
      <w:r w:rsidR="00614CF7">
        <w:t>Cowhouse</w:t>
      </w:r>
      <w:r w:rsidRPr="00723CB7">
        <w:t xml:space="preserve"> </w:t>
      </w:r>
      <w:r w:rsidRPr="005C72F6">
        <w:t>watershed</w:t>
      </w:r>
      <w:r w:rsidRPr="00723CB7">
        <w:t xml:space="preserve"> </w:t>
      </w:r>
      <w:r w:rsidRPr="000B5E8E">
        <w:t>BLE analysis were developed and independently assured to meet quality standards of the project.  The data were developed using a controlled process, were evaluated and assured by a topographic data development team, and were evaluated and assured by the engineering team. Quality assurance</w:t>
      </w:r>
      <w:r>
        <w:t xml:space="preserve"> (QA)</w:t>
      </w:r>
      <w:r w:rsidRPr="000B5E8E">
        <w:t xml:space="preserve"> during the data development process includes, but is not limited to the following QC checks:</w:t>
      </w:r>
    </w:p>
    <w:p w14:paraId="3D729355" w14:textId="77777777" w:rsidR="00CF2706" w:rsidRPr="000B5E8E" w:rsidRDefault="00CF2706" w:rsidP="00CF2706">
      <w:pPr>
        <w:pStyle w:val="BodyText"/>
        <w:numPr>
          <w:ilvl w:val="0"/>
          <w:numId w:val="25"/>
        </w:numPr>
      </w:pPr>
      <w:r w:rsidRPr="000B5E8E">
        <w:t>Horizontal Projection Check</w:t>
      </w:r>
    </w:p>
    <w:p w14:paraId="6F8AEBBC" w14:textId="77777777" w:rsidR="00CF2706" w:rsidRPr="000B5E8E" w:rsidRDefault="00CF2706" w:rsidP="00CF2706">
      <w:pPr>
        <w:pStyle w:val="BodyText"/>
        <w:numPr>
          <w:ilvl w:val="0"/>
          <w:numId w:val="25"/>
        </w:numPr>
      </w:pPr>
      <w:r w:rsidRPr="000B5E8E">
        <w:t>Vertical Datum Check</w:t>
      </w:r>
    </w:p>
    <w:p w14:paraId="3F826C8E" w14:textId="77777777" w:rsidR="00CF2706" w:rsidRPr="000B5E8E" w:rsidRDefault="00CF2706" w:rsidP="00CF2706">
      <w:pPr>
        <w:pStyle w:val="BodyText"/>
        <w:numPr>
          <w:ilvl w:val="0"/>
          <w:numId w:val="25"/>
        </w:numPr>
      </w:pPr>
      <w:r w:rsidRPr="000B5E8E">
        <w:t>Resolution Check</w:t>
      </w:r>
    </w:p>
    <w:p w14:paraId="098B5496" w14:textId="77777777" w:rsidR="00CF2706" w:rsidRPr="000B5E8E" w:rsidRDefault="00CF2706" w:rsidP="00CF2706">
      <w:pPr>
        <w:pStyle w:val="BodyText"/>
        <w:numPr>
          <w:ilvl w:val="0"/>
          <w:numId w:val="25"/>
        </w:numPr>
      </w:pPr>
      <w:r w:rsidRPr="000B5E8E">
        <w:t>Format Check</w:t>
      </w:r>
    </w:p>
    <w:p w14:paraId="4138BF88" w14:textId="77777777" w:rsidR="00CF2706" w:rsidRPr="000B5E8E" w:rsidRDefault="00CF2706" w:rsidP="00CF2706">
      <w:pPr>
        <w:pStyle w:val="BodyText"/>
        <w:numPr>
          <w:ilvl w:val="0"/>
          <w:numId w:val="25"/>
        </w:numPr>
      </w:pPr>
      <w:r w:rsidRPr="000B5E8E">
        <w:t>Seamless Data Check to ensure the DEM files are consistent and seamless along source data edges</w:t>
      </w:r>
    </w:p>
    <w:p w14:paraId="3918915C" w14:textId="77777777" w:rsidR="00CF2706" w:rsidRPr="000B5E8E" w:rsidRDefault="00CF2706" w:rsidP="00CF2706">
      <w:pPr>
        <w:pStyle w:val="BodyText"/>
      </w:pPr>
      <w:r w:rsidRPr="000B5E8E">
        <w:t xml:space="preserve">The </w:t>
      </w:r>
      <w:r>
        <w:t>QC</w:t>
      </w:r>
      <w:r w:rsidRPr="000B5E8E">
        <w:t xml:space="preserve"> after the development process by the DEM development team included visual observations using hillshade, contouring, color rendering, and/or other visual aids to review and identify potential impactful anomalies within the DEM surface.  This QC step included, but w</w:t>
      </w:r>
      <w:r>
        <w:t>as</w:t>
      </w:r>
      <w:r w:rsidRPr="000B5E8E">
        <w:t xml:space="preserve"> not limited to the following QC checks:</w:t>
      </w:r>
    </w:p>
    <w:p w14:paraId="7E8D3ECD" w14:textId="77777777" w:rsidR="00CF2706" w:rsidRPr="000B5E8E" w:rsidRDefault="00CF2706" w:rsidP="00CF2706">
      <w:pPr>
        <w:pStyle w:val="BodyText"/>
        <w:numPr>
          <w:ilvl w:val="0"/>
          <w:numId w:val="26"/>
        </w:numPr>
      </w:pPr>
      <w:r w:rsidRPr="000B5E8E">
        <w:t>Seamless Data Check to ensure no voids along the edges and between the prioritized datasets</w:t>
      </w:r>
    </w:p>
    <w:p w14:paraId="0BAF2A26" w14:textId="77777777" w:rsidR="00CF2706" w:rsidRPr="000B5E8E" w:rsidRDefault="00CF2706" w:rsidP="00CF2706">
      <w:pPr>
        <w:pStyle w:val="BodyText"/>
        <w:numPr>
          <w:ilvl w:val="0"/>
          <w:numId w:val="26"/>
        </w:numPr>
      </w:pPr>
      <w:r w:rsidRPr="000B5E8E">
        <w:t>NoData Value Check to ensure no null values</w:t>
      </w:r>
    </w:p>
    <w:p w14:paraId="59F0A807" w14:textId="77777777" w:rsidR="00CF2706" w:rsidRPr="000B5E8E" w:rsidRDefault="00CF2706" w:rsidP="00CF2706">
      <w:pPr>
        <w:pStyle w:val="BodyText"/>
        <w:numPr>
          <w:ilvl w:val="0"/>
          <w:numId w:val="26"/>
        </w:numPr>
      </w:pPr>
      <w:r w:rsidRPr="000B5E8E">
        <w:t>Manual Elevation Check using hillshade rasters to find erroneous elevation issues</w:t>
      </w:r>
    </w:p>
    <w:p w14:paraId="006B058A" w14:textId="77777777" w:rsidR="00CF2706" w:rsidRPr="000B5E8E" w:rsidRDefault="00CF2706" w:rsidP="00CF2706">
      <w:pPr>
        <w:pStyle w:val="BodyText"/>
        <w:numPr>
          <w:ilvl w:val="0"/>
          <w:numId w:val="26"/>
        </w:numPr>
      </w:pPr>
      <w:r w:rsidRPr="000B5E8E">
        <w:t>Unit Consistency Check</w:t>
      </w:r>
    </w:p>
    <w:p w14:paraId="24C02F50" w14:textId="77777777" w:rsidR="00CF2706" w:rsidRPr="000B5E8E" w:rsidRDefault="00CF2706" w:rsidP="00CF2706">
      <w:pPr>
        <w:pStyle w:val="BodyText"/>
        <w:numPr>
          <w:ilvl w:val="0"/>
          <w:numId w:val="26"/>
        </w:numPr>
      </w:pPr>
      <w:r w:rsidRPr="000B5E8E">
        <w:t>Legacy Cell Value Anomalies</w:t>
      </w:r>
    </w:p>
    <w:p w14:paraId="7BE3E208" w14:textId="77777777" w:rsidR="00CF2706" w:rsidRPr="000B5E8E" w:rsidRDefault="00CF2706" w:rsidP="00CF2706">
      <w:pPr>
        <w:pStyle w:val="BodyText"/>
      </w:pPr>
      <w:r>
        <w:t>QA</w:t>
      </w:r>
      <w:r w:rsidRPr="000B5E8E">
        <w:t xml:space="preserve"> conducted after the seamless DEM development conducted by the engineering team included visual or automated assessments to identify potentially impactful anomalies or slope changes that may adversely impact hydraulic</w:t>
      </w:r>
      <w:r>
        <w:t xml:space="preserve"> analysis</w:t>
      </w:r>
      <w:r w:rsidRPr="000B5E8E">
        <w:t>.</w:t>
      </w:r>
    </w:p>
    <w:p w14:paraId="7B34C8BB" w14:textId="31E94ECA" w:rsidR="00E413BF" w:rsidRPr="00E413BF" w:rsidRDefault="00CF2706" w:rsidP="00CF2706">
      <w:pPr>
        <w:pStyle w:val="BodyText"/>
      </w:pPr>
      <w:r w:rsidRPr="000B5E8E">
        <w:t xml:space="preserve">The final DEM data developed </w:t>
      </w:r>
      <w:r w:rsidRPr="00723CB7">
        <w:t xml:space="preserve">for the </w:t>
      </w:r>
      <w:r w:rsidR="00614CF7">
        <w:t>Cowhouse</w:t>
      </w:r>
      <w:r>
        <w:t xml:space="preserve"> </w:t>
      </w:r>
      <w:r w:rsidRPr="005C72F6">
        <w:t>watershed</w:t>
      </w:r>
      <w:r w:rsidRPr="00723CB7">
        <w:t xml:space="preserve"> </w:t>
      </w:r>
      <w:r>
        <w:t>is</w:t>
      </w:r>
      <w:r w:rsidRPr="000B5E8E">
        <w:t xml:space="preserve"> assured to meet FEMA standards and present a representative surface developed from leverage</w:t>
      </w:r>
      <w:r>
        <w:t>d</w:t>
      </w:r>
      <w:r w:rsidRPr="000B5E8E">
        <w:t xml:space="preserve"> elevation data for th</w:t>
      </w:r>
      <w:r>
        <w:t>e purposes of this BLE project</w:t>
      </w:r>
      <w:r w:rsidR="00A6648D">
        <w:t>.</w:t>
      </w:r>
    </w:p>
    <w:p w14:paraId="33059ABB" w14:textId="77777777" w:rsidR="00420CC8" w:rsidRDefault="00420CC8" w:rsidP="00265A9E">
      <w:pPr>
        <w:pStyle w:val="Heading2"/>
      </w:pPr>
      <w:bookmarkStart w:id="39" w:name="_Toc112244123"/>
      <w:r>
        <w:t>2D BLE</w:t>
      </w:r>
      <w:r w:rsidR="00E413BF">
        <w:t xml:space="preserve"> Methods</w:t>
      </w:r>
      <w:bookmarkEnd w:id="39"/>
    </w:p>
    <w:p w14:paraId="790DC7E1" w14:textId="0A333414" w:rsidR="0048315A" w:rsidRPr="0048315A" w:rsidRDefault="00CB3ACA" w:rsidP="001C6876">
      <w:pPr>
        <w:pStyle w:val="BodyText"/>
      </w:pPr>
      <w:r>
        <w:t>HEC-RAS 6</w:t>
      </w:r>
      <w:r w:rsidR="0048315A">
        <w:t>.</w:t>
      </w:r>
      <w:r w:rsidR="00D07BAC">
        <w:t>1</w:t>
      </w:r>
      <w:r w:rsidR="0048315A">
        <w:t xml:space="preserve"> (RAS</w:t>
      </w:r>
      <w:r w:rsidR="00D07BAC">
        <w:t>6</w:t>
      </w:r>
      <w:r w:rsidR="0048315A">
        <w:t xml:space="preserve">) rain-on-grid utility was applied in the </w:t>
      </w:r>
      <w:r w:rsidR="001C6876">
        <w:t>Texas</w:t>
      </w:r>
      <w:r w:rsidR="0048315A">
        <w:t xml:space="preserve"> 2D BLE products workflow. The following sections describe the engineering</w:t>
      </w:r>
      <w:r w:rsidR="001C6876">
        <w:t xml:space="preserve"> methods and model inputs used.</w:t>
      </w:r>
    </w:p>
    <w:p w14:paraId="20B9FBAD" w14:textId="77777777" w:rsidR="00976A14" w:rsidRPr="00265A9E" w:rsidRDefault="00976A14" w:rsidP="00E413BF">
      <w:pPr>
        <w:pStyle w:val="Heading3"/>
      </w:pPr>
      <w:bookmarkStart w:id="40" w:name="_Toc112244124"/>
      <w:r w:rsidRPr="00265A9E">
        <w:t>2D Computational Mesh and Settings</w:t>
      </w:r>
      <w:bookmarkEnd w:id="40"/>
    </w:p>
    <w:p w14:paraId="5445EFF5" w14:textId="77777777" w:rsidR="00AD60E2" w:rsidRDefault="00A9311D" w:rsidP="0048315A">
      <w:pPr>
        <w:pStyle w:val="BodyText"/>
      </w:pPr>
      <w:r w:rsidRPr="00A9311D">
        <w:t xml:space="preserve">Due to the size of the </w:t>
      </w:r>
      <w:r w:rsidR="00CB3ACA">
        <w:t>Cowhouse</w:t>
      </w:r>
      <w:r w:rsidRPr="00A9311D">
        <w:t xml:space="preserve"> watershed (approximately </w:t>
      </w:r>
      <w:r w:rsidR="003845C5">
        <w:t>696</w:t>
      </w:r>
      <w:r w:rsidRPr="00A9311D">
        <w:t xml:space="preserve"> sq</w:t>
      </w:r>
      <w:r w:rsidR="006D7C0A">
        <w:t xml:space="preserve">uare </w:t>
      </w:r>
      <w:r w:rsidRPr="00A9311D">
        <w:t>mi</w:t>
      </w:r>
      <w:r w:rsidR="006D7C0A">
        <w:t>les</w:t>
      </w:r>
      <w:r w:rsidRPr="00A9311D">
        <w:t>)</w:t>
      </w:r>
      <w:r w:rsidR="00BB77E3">
        <w:t xml:space="preserve">, the </w:t>
      </w:r>
      <w:r w:rsidR="003845C5">
        <w:t xml:space="preserve">Cowhouse </w:t>
      </w:r>
      <w:r w:rsidRPr="00A9311D">
        <w:t xml:space="preserve">HUC-8 was </w:t>
      </w:r>
      <w:r w:rsidR="003845C5">
        <w:t xml:space="preserve">modeled with </w:t>
      </w:r>
      <w:r w:rsidR="00BB77E3">
        <w:t>one</w:t>
      </w:r>
      <w:r w:rsidR="00A64FC5" w:rsidRPr="00A9311D">
        <w:t xml:space="preserve"> </w:t>
      </w:r>
      <w:r w:rsidRPr="00A9311D">
        <w:t xml:space="preserve">HEC-RAS </w:t>
      </w:r>
      <w:r w:rsidR="00BB77E3">
        <w:t>model</w:t>
      </w:r>
      <w:r w:rsidR="00A64FC5" w:rsidRPr="00A9311D">
        <w:t xml:space="preserve"> </w:t>
      </w:r>
      <w:r w:rsidRPr="00A9311D">
        <w:t xml:space="preserve">as shown in </w:t>
      </w:r>
      <w:r>
        <w:fldChar w:fldCharType="begin"/>
      </w:r>
      <w:r>
        <w:instrText xml:space="preserve"> REF _Ref61261356 \h </w:instrText>
      </w:r>
      <w:r>
        <w:fldChar w:fldCharType="separate"/>
      </w:r>
      <w:r w:rsidR="007D7CA7">
        <w:t xml:space="preserve">Figure </w:t>
      </w:r>
      <w:r w:rsidR="007D7CA7">
        <w:rPr>
          <w:noProof/>
        </w:rPr>
        <w:t>3</w:t>
      </w:r>
      <w:r>
        <w:fldChar w:fldCharType="end"/>
      </w:r>
      <w:r>
        <w:t>. Minor adjustments have been made to HUC-</w:t>
      </w:r>
      <w:r w:rsidR="003845C5">
        <w:t>8</w:t>
      </w:r>
      <w:r>
        <w:t xml:space="preserve"> boundaries to improve modeling efficiency. </w:t>
      </w:r>
      <w:r w:rsidR="00CF1181" w:rsidRPr="007824FF">
        <w:t xml:space="preserve">The most downstream portion of the Cowhouse HUC-8 watershed, that contains a portion of Belton Lake, was removed from the Cowhouse 2D BLE model area, and instead </w:t>
      </w:r>
      <w:r w:rsidR="00AD60E2">
        <w:t>was</w:t>
      </w:r>
      <w:r w:rsidR="00CF1181" w:rsidRPr="007824FF">
        <w:t xml:space="preserve"> modeled as part of </w:t>
      </w:r>
      <w:r w:rsidR="00CF1181" w:rsidRPr="007824FF">
        <w:lastRenderedPageBreak/>
        <w:t>the Leon HUC-8 2D BLE project. This was done to allow Belton Lake to be modeled within one 2D mesh</w:t>
      </w:r>
      <w:r w:rsidR="00D541F3">
        <w:t xml:space="preserve">. </w:t>
      </w:r>
      <w:r w:rsidR="00CF1181" w:rsidRPr="007824FF">
        <w:t>.</w:t>
      </w:r>
      <w:r w:rsidR="00ED4B1B">
        <w:t xml:space="preserve"> The area of Belton Lake that was removed from the Cowhouse HUC-8 and modeled with the Leon HUC-8 </w:t>
      </w:r>
      <w:r w:rsidR="00AD60E2">
        <w:t>creates backwater</w:t>
      </w:r>
      <w:r w:rsidR="00ED4B1B">
        <w:t xml:space="preserve"> as flow runs downstream and collects in the reservoir created by Belton Lake Dam.</w:t>
      </w:r>
      <w:r w:rsidR="00D541F3">
        <w:t xml:space="preserve"> Due to this back</w:t>
      </w:r>
      <w:r w:rsidR="00AD60E2">
        <w:t>water</w:t>
      </w:r>
      <w:r w:rsidR="00D541F3">
        <w:t>, the upstream portions of Belton Lake see flow traveling upstream for a brief period of time</w:t>
      </w:r>
      <w:r w:rsidR="00694515">
        <w:t xml:space="preserve"> during the model simulation</w:t>
      </w:r>
      <w:r w:rsidR="00D541F3">
        <w:t>. The modeling areas were edited to help deal with this reverse flow</w:t>
      </w:r>
      <w:r w:rsidR="00694515">
        <w:t>,</w:t>
      </w:r>
      <w:r w:rsidR="007236AF">
        <w:t xml:space="preserve"> </w:t>
      </w:r>
      <w:r w:rsidR="00D541F3">
        <w:t xml:space="preserve"> and make it easy to obtain accurate tie-ins for the two models. After the modeling and mapping processes were completed</w:t>
      </w:r>
      <w:r w:rsidR="00AD60E2">
        <w:t xml:space="preserve"> for both watersheds,</w:t>
      </w:r>
      <w:r w:rsidR="00D541F3">
        <w:t xml:space="preserve"> the spatial data containing the mapped flood plains was </w:t>
      </w:r>
      <w:r w:rsidR="00AD60E2">
        <w:t xml:space="preserve">split and merged such that all mapped products delivered adhere to the original </w:t>
      </w:r>
      <w:r w:rsidR="00D541F3">
        <w:t>Cowhouse HUC-8</w:t>
      </w:r>
      <w:r w:rsidR="00AD60E2">
        <w:t xml:space="preserve"> boundary</w:t>
      </w:r>
      <w:r w:rsidR="00D541F3">
        <w:t xml:space="preserve">. </w:t>
      </w:r>
      <w:r w:rsidR="00AD60E2">
        <w:t xml:space="preserve">Therefore, users should note that while the mapped floodplains and other datasets will be consistent with the original HUC-8 watershed boundaries, </w:t>
      </w:r>
      <w:r w:rsidR="00D541F3">
        <w:t>the modeling footprints will represent the edits to the boundaries described above</w:t>
      </w:r>
      <w:r w:rsidR="00AD60E2">
        <w:t xml:space="preserve"> near Belton Lake</w:t>
      </w:r>
      <w:r w:rsidR="00CF1181" w:rsidRPr="007824FF">
        <w:t>.</w:t>
      </w:r>
      <w:r w:rsidR="00AD60E2">
        <w:t xml:space="preserve"> </w:t>
      </w:r>
    </w:p>
    <w:p w14:paraId="2C239A15" w14:textId="1A136BB7" w:rsidR="00FB28FD" w:rsidRDefault="003845C5" w:rsidP="0048315A">
      <w:pPr>
        <w:pStyle w:val="BodyText"/>
      </w:pPr>
      <w:r>
        <w:t>The RAS6</w:t>
      </w:r>
      <w:r w:rsidR="003C754B" w:rsidRPr="003C754B">
        <w:t xml:space="preserve"> </w:t>
      </w:r>
      <w:r w:rsidR="00B42F58">
        <w:t xml:space="preserve">watershed boundary </w:t>
      </w:r>
      <w:r w:rsidR="003C754B" w:rsidRPr="003C754B">
        <w:t xml:space="preserve">was created for the </w:t>
      </w:r>
      <w:r>
        <w:t>Cowhouse</w:t>
      </w:r>
      <w:r w:rsidR="003C754B" w:rsidRPr="003C754B">
        <w:t xml:space="preserve"> model area using ArcGIS toolsets, which reduce the need for manual</w:t>
      </w:r>
      <w:r>
        <w:t xml:space="preserve"> edits to mesh cells within RAS6</w:t>
      </w:r>
      <w:r w:rsidR="003C754B" w:rsidRPr="003C754B">
        <w:t xml:space="preserve"> that result in error generation.</w:t>
      </w:r>
      <w:r w:rsidR="003C754B">
        <w:t xml:space="preserve">The </w:t>
      </w:r>
      <w:r>
        <w:t>Cowhouse</w:t>
      </w:r>
      <w:r w:rsidR="00775043">
        <w:t xml:space="preserve"> </w:t>
      </w:r>
      <w:r w:rsidR="003C754B" w:rsidRPr="004828B3">
        <w:t xml:space="preserve">2D mesh </w:t>
      </w:r>
      <w:r w:rsidR="003C754B">
        <w:t>contain</w:t>
      </w:r>
      <w:r w:rsidR="00775043">
        <w:t>s</w:t>
      </w:r>
      <w:r w:rsidR="003C754B">
        <w:t xml:space="preserve"> </w:t>
      </w:r>
      <w:r w:rsidR="00BB77E3">
        <w:t>721,083 cells</w:t>
      </w:r>
      <w:r w:rsidR="003C754B">
        <w:t xml:space="preserve"> consisting</w:t>
      </w:r>
      <w:r w:rsidR="003C754B" w:rsidRPr="004828B3">
        <w:t xml:space="preserve"> of 200 foot </w:t>
      </w:r>
      <w:r w:rsidR="003C754B" w:rsidRPr="003C754B">
        <w:t>cells</w:t>
      </w:r>
      <w:r w:rsidR="00E54194" w:rsidRPr="003C754B">
        <w:t xml:space="preserve">, with the exception of 100 foot </w:t>
      </w:r>
      <w:r w:rsidR="001C6876" w:rsidRPr="003C754B">
        <w:t>along the 1 square mile streams</w:t>
      </w:r>
      <w:r w:rsidR="00E54194" w:rsidRPr="003C754B">
        <w:t xml:space="preserve"> and 50 foot cells within community boundaries</w:t>
      </w:r>
      <w:r w:rsidR="00BB77E3">
        <w:t xml:space="preserve"> modeled as</w:t>
      </w:r>
      <w:r w:rsidR="003163EB">
        <w:t xml:space="preserve"> </w:t>
      </w:r>
      <w:r w:rsidR="001C6876" w:rsidRPr="003C754B">
        <w:t>refinement regions</w:t>
      </w:r>
      <w:r w:rsidR="0048315A" w:rsidRPr="003C754B">
        <w:t>.</w:t>
      </w:r>
      <w:r w:rsidR="00BA11CA">
        <w:t xml:space="preserve"> Within community boundaries the streamlines were also extended to the 0.5 square mile extent</w:t>
      </w:r>
      <w:r w:rsidR="003163EB">
        <w:t xml:space="preserve"> and assigned 50 foot cell spacing in order to be more detailed.</w:t>
      </w:r>
      <w:r w:rsidR="00E54194" w:rsidRPr="003C754B">
        <w:t xml:space="preserve"> Internal connections were used to extract flow readings </w:t>
      </w:r>
      <w:r w:rsidR="001C6876" w:rsidRPr="003C754B">
        <w:t xml:space="preserve">for gage locations throughout the model, while profile lines were used for all other flow extractions. </w:t>
      </w:r>
      <w:r w:rsidR="0048315A" w:rsidRPr="003C754B">
        <w:t xml:space="preserve">An adaptive </w:t>
      </w:r>
      <w:r w:rsidR="00775043">
        <w:t>1 minute</w:t>
      </w:r>
      <w:r w:rsidR="0048315A" w:rsidRPr="003C754B">
        <w:t xml:space="preserve"> time step was used to allow the model to lower the time step, as necessary, to keep the maximum courant number under </w:t>
      </w:r>
      <w:r w:rsidR="007824FF">
        <w:t>two</w:t>
      </w:r>
      <w:r w:rsidR="00566B7F" w:rsidRPr="003C754B">
        <w:t xml:space="preserve"> </w:t>
      </w:r>
      <w:r w:rsidR="0048315A" w:rsidRPr="003C754B">
        <w:t xml:space="preserve">for the duration of the simulation. </w:t>
      </w:r>
      <w:r w:rsidR="00775043">
        <w:t>The RAS6</w:t>
      </w:r>
      <w:r w:rsidR="0048315A" w:rsidRPr="003C754B">
        <w:t xml:space="preserve"> model was r</w:t>
      </w:r>
      <w:r w:rsidR="00270D3A">
        <w:t>u</w:t>
      </w:r>
      <w:r w:rsidR="0048315A" w:rsidRPr="003C754B">
        <w:t>n with Diffusion Wave (simplified Full Momentum) equations</w:t>
      </w:r>
      <w:r w:rsidR="00BB77E3">
        <w:t>.</w:t>
      </w:r>
    </w:p>
    <w:p w14:paraId="2161026C" w14:textId="77777777" w:rsidR="00976A14" w:rsidRDefault="00976A14" w:rsidP="00E413BF">
      <w:pPr>
        <w:pStyle w:val="Heading3"/>
      </w:pPr>
      <w:bookmarkStart w:id="41" w:name="_Toc112244125"/>
      <w:r>
        <w:t>Model and Boundary Condition Setup</w:t>
      </w:r>
      <w:bookmarkEnd w:id="41"/>
    </w:p>
    <w:p w14:paraId="50420CA1" w14:textId="52B5EFF0" w:rsidR="003C754B" w:rsidRDefault="00775043" w:rsidP="003C754B">
      <w:pPr>
        <w:pStyle w:val="BodyText"/>
      </w:pPr>
      <w:r>
        <w:t>Using RAS6</w:t>
      </w:r>
      <w:r w:rsidR="003C754B" w:rsidRPr="0048315A">
        <w:t xml:space="preserve"> rain-on-grid modeling requires a 2D computational mesh boundary and often requires defining inflow boundary conditions and application of excess precipitation. </w:t>
      </w:r>
      <w:r w:rsidR="003C754B">
        <w:t>Excess precipitation was applied to the 2D mesh as a precipitation boundary condition</w:t>
      </w:r>
      <w:r w:rsidR="003C754B" w:rsidRPr="0048315A">
        <w:t>.</w:t>
      </w:r>
      <w:r w:rsidR="003C754B">
        <w:t xml:space="preserve"> The process to determine the excess precipitation to be applied is out</w:t>
      </w:r>
      <w:r w:rsidR="006115E4">
        <w:t>lined in the</w:t>
      </w:r>
      <w:r w:rsidR="00FB28FD">
        <w:t xml:space="preserve"> </w:t>
      </w:r>
      <w:r w:rsidR="00DD17F5">
        <w:t>section</w:t>
      </w:r>
      <w:r w:rsidR="006115E4">
        <w:t xml:space="preserve"> </w:t>
      </w:r>
      <w:r w:rsidR="00DD17F5">
        <w:t>2.2.3</w:t>
      </w:r>
    </w:p>
    <w:p w14:paraId="2F58C651" w14:textId="47EF7BE2" w:rsidR="003C754B" w:rsidRPr="003C754B" w:rsidRDefault="009A5C6A" w:rsidP="0048315A">
      <w:pPr>
        <w:pStyle w:val="BodyText"/>
        <w:rPr>
          <w:noProof/>
        </w:rPr>
      </w:pPr>
      <w:r>
        <w:t>O</w:t>
      </w:r>
      <w:r w:rsidR="003C754B" w:rsidRPr="0048315A">
        <w:t xml:space="preserve">utflow boundary conditions (from the computational 2D mesh) were used along </w:t>
      </w:r>
      <w:r w:rsidR="003C754B">
        <w:t>model</w:t>
      </w:r>
      <w:r w:rsidR="003C754B" w:rsidRPr="0048315A">
        <w:t xml:space="preserve"> boundaries</w:t>
      </w:r>
      <w:r w:rsidR="00DD0D67">
        <w:t xml:space="preserve">. </w:t>
      </w:r>
      <w:r w:rsidR="00DD0D67" w:rsidRPr="00DD0D67">
        <w:t>Outflow boundaries were established as normal depth using approximate energy grade-line slope estimated from the LiDAR data.</w:t>
      </w:r>
      <w:r w:rsidR="006115E4" w:rsidRPr="006115E4">
        <w:t xml:space="preserve"> </w:t>
      </w:r>
      <w:r w:rsidR="006115E4" w:rsidRPr="00DD0D67">
        <w:t>This allowed the boundary conditions defined as continuous boundaries to allow drainage to leave the model area freely to adjacent basins.</w:t>
      </w:r>
      <w:r w:rsidR="00DD0D67" w:rsidRPr="00DD0D67">
        <w:t xml:space="preserve"> </w:t>
      </w:r>
      <w:r w:rsidR="003163EB">
        <w:t>At the model boundary where flow leaves the Cowhouse modeling area and enters the Leon HUC-8</w:t>
      </w:r>
      <w:r w:rsidR="00E743C6">
        <w:t>,</w:t>
      </w:r>
      <w:r w:rsidR="003163EB">
        <w:t xml:space="preserve"> a 2D connection was placed </w:t>
      </w:r>
      <w:r w:rsidR="00DD17F5">
        <w:t>1</w:t>
      </w:r>
      <w:r w:rsidR="00CB4DF1">
        <w:t>,</w:t>
      </w:r>
      <w:r w:rsidR="00DD17F5">
        <w:t xml:space="preserve">000 feet </w:t>
      </w:r>
      <w:r w:rsidR="003163EB">
        <w:t>upstream of the model boundary. This was done so that the flow from Cowhouse could then be applied as a stage hydrograph boundary condition in Leon</w:t>
      </w:r>
      <w:r w:rsidR="00E743C6">
        <w:t xml:space="preserve"> watershed</w:t>
      </w:r>
      <w:r w:rsidR="003163EB">
        <w:t xml:space="preserve">. Applying the flow from Cowhouse to Leon as a stage hydrograph was done to assist the models WSEL on tying in together properly. </w:t>
      </w:r>
      <w:r w:rsidR="006115E4">
        <w:fldChar w:fldCharType="begin"/>
      </w:r>
      <w:r w:rsidR="006115E4">
        <w:instrText xml:space="preserve"> REF _Ref61261356 \h </w:instrText>
      </w:r>
      <w:r w:rsidR="006115E4">
        <w:fldChar w:fldCharType="separate"/>
      </w:r>
      <w:r w:rsidR="007D7CA7">
        <w:t xml:space="preserve">Figure </w:t>
      </w:r>
      <w:r w:rsidR="007D7CA7">
        <w:rPr>
          <w:noProof/>
        </w:rPr>
        <w:t>3</w:t>
      </w:r>
      <w:r w:rsidR="006115E4">
        <w:fldChar w:fldCharType="end"/>
      </w:r>
      <w:r w:rsidR="006115E4">
        <w:t xml:space="preserve"> </w:t>
      </w:r>
      <w:r w:rsidR="006115E4" w:rsidRPr="0048315A">
        <w:t xml:space="preserve">depicts the </w:t>
      </w:r>
      <w:r w:rsidR="006115E4">
        <w:t xml:space="preserve">Cowhouse </w:t>
      </w:r>
      <w:r w:rsidR="006115E4" w:rsidRPr="00A1432D">
        <w:t xml:space="preserve">model </w:t>
      </w:r>
      <w:r w:rsidR="006115E4">
        <w:t>boundary, flow transition points between models, and USGS stream gages used in the study.</w:t>
      </w:r>
    </w:p>
    <w:p w14:paraId="0BD814F8" w14:textId="3E94C05A" w:rsidR="000E758C" w:rsidRDefault="00A9311D" w:rsidP="00E40918">
      <w:pPr>
        <w:pStyle w:val="BodyText"/>
        <w:keepNext/>
        <w:jc w:val="center"/>
      </w:pPr>
      <w:r>
        <w:rPr>
          <w:noProof/>
        </w:rPr>
        <w:lastRenderedPageBreak/>
        <w:drawing>
          <wp:inline distT="0" distB="0" distL="0" distR="0" wp14:anchorId="6BA421D9" wp14:editId="07459B68">
            <wp:extent cx="5143269" cy="6655995"/>
            <wp:effectExtent l="0" t="0" r="63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exas_2d\60631191_TWDB_AustinOyster_BLE\400_PRODUCTION\Engineering\AustinOyster\_Workspace\EV\Report\Figures\Fig3_MeshBCgages_AustinOyster.jpg"/>
                    <pic:cNvPicPr>
                      <a:picLocks noChangeAspect="1" noChangeArrowheads="1"/>
                    </pic:cNvPicPr>
                  </pic:nvPicPr>
                  <pic:blipFill>
                    <a:blip r:embed="rId15" cstate="print">
                      <a:extLst>
                        <a:ext uri="{28A0092B-C50C-407E-A947-70E740481C1C}">
                          <a14:useLocalDpi xmlns:a14="http://schemas.microsoft.com/office/drawing/2010/main" val="0"/>
                        </a:ext>
                      </a:extLst>
                    </a:blip>
                    <a:stretch>
                      <a:fillRect/>
                    </a:stretch>
                  </pic:blipFill>
                  <pic:spPr bwMode="auto">
                    <a:xfrm>
                      <a:off x="0" y="0"/>
                      <a:ext cx="5143269" cy="6655995"/>
                    </a:xfrm>
                    <a:prstGeom prst="rect">
                      <a:avLst/>
                    </a:prstGeom>
                    <a:noFill/>
                    <a:ln>
                      <a:noFill/>
                    </a:ln>
                  </pic:spPr>
                </pic:pic>
              </a:graphicData>
            </a:graphic>
          </wp:inline>
        </w:drawing>
      </w:r>
    </w:p>
    <w:p w14:paraId="796FD21F" w14:textId="43C814A5" w:rsidR="003C754B" w:rsidRDefault="000E758C" w:rsidP="003C754B">
      <w:pPr>
        <w:pStyle w:val="Caption"/>
        <w:jc w:val="center"/>
      </w:pPr>
      <w:bookmarkStart w:id="42" w:name="_Ref61261356"/>
      <w:bookmarkStart w:id="43" w:name="_Toc112244157"/>
      <w:r>
        <w:t xml:space="preserve">Figure </w:t>
      </w:r>
      <w:r w:rsidR="00CA2514">
        <w:fldChar w:fldCharType="begin"/>
      </w:r>
      <w:r w:rsidR="00CA2514">
        <w:instrText xml:space="preserve"> SEQ Figure \* ARABIC </w:instrText>
      </w:r>
      <w:r w:rsidR="00CA2514">
        <w:fldChar w:fldCharType="separate"/>
      </w:r>
      <w:r w:rsidR="007D7CA7">
        <w:rPr>
          <w:noProof/>
        </w:rPr>
        <w:t>3</w:t>
      </w:r>
      <w:r w:rsidR="00CA2514">
        <w:fldChar w:fldCharType="end"/>
      </w:r>
      <w:bookmarkEnd w:id="42"/>
      <w:r>
        <w:t xml:space="preserve">: </w:t>
      </w:r>
      <w:r w:rsidR="006A60FC">
        <w:t>RAS6</w:t>
      </w:r>
      <w:r w:rsidRPr="00645BE9">
        <w:t xml:space="preserve"> 2D Computational Mesh</w:t>
      </w:r>
      <w:r w:rsidR="00D07BAC">
        <w:t>, and</w:t>
      </w:r>
      <w:r w:rsidR="00320C7B">
        <w:t xml:space="preserve"> </w:t>
      </w:r>
      <w:r w:rsidRPr="00645BE9">
        <w:t>Boundary Conditions and USGS Peak Streamflow Gages</w:t>
      </w:r>
      <w:bookmarkEnd w:id="43"/>
    </w:p>
    <w:p w14:paraId="76602BAB" w14:textId="77777777" w:rsidR="00976A14" w:rsidRDefault="00976A14" w:rsidP="00E413BF">
      <w:pPr>
        <w:pStyle w:val="Heading3"/>
      </w:pPr>
      <w:bookmarkStart w:id="44" w:name="_Ref108714028"/>
      <w:bookmarkStart w:id="45" w:name="_Toc112244126"/>
      <w:r>
        <w:t>Hydrology</w:t>
      </w:r>
      <w:bookmarkEnd w:id="44"/>
      <w:bookmarkEnd w:id="45"/>
    </w:p>
    <w:p w14:paraId="48D527E2" w14:textId="00AB19FD" w:rsidR="003C754B" w:rsidRDefault="003C754B" w:rsidP="003C754B">
      <w:pPr>
        <w:pStyle w:val="BodyText"/>
      </w:pPr>
      <w:r w:rsidRPr="0048315A">
        <w:t>Precipitation frequency data (NOAA, 201</w:t>
      </w:r>
      <w:r w:rsidR="00997BE7">
        <w:t>8</w:t>
      </w:r>
      <w:r w:rsidRPr="0048315A">
        <w:t>) was used for this study. These data were obtained from NOAA’s Precipitation Frequency Data Server (PFDS) (</w:t>
      </w:r>
      <w:hyperlink r:id="rId16" w:history="1">
        <w:r w:rsidRPr="000E55C1">
          <w:rPr>
            <w:rStyle w:val="Hyperlink"/>
          </w:rPr>
          <w:t>http://hdsc.nws.noaa.gov/hdsc/pfds/index.html</w:t>
        </w:r>
      </w:hyperlink>
      <w:r w:rsidRPr="0048315A">
        <w:t>)</w:t>
      </w:r>
      <w:r>
        <w:t xml:space="preserve">, </w:t>
      </w:r>
      <w:r w:rsidRPr="004D0A69">
        <w:t xml:space="preserve">and appropriate values for all sub-basin elements were determined considering spatial variation and a representative total </w:t>
      </w:r>
      <w:r w:rsidR="00273B75">
        <w:t xml:space="preserve">for </w:t>
      </w:r>
      <w:r w:rsidRPr="00FD1C87">
        <w:t xml:space="preserve">the </w:t>
      </w:r>
      <w:r w:rsidR="00273B75">
        <w:t>Cowhouse</w:t>
      </w:r>
      <w:r w:rsidRPr="00FD1C87">
        <w:t xml:space="preserve"> </w:t>
      </w:r>
      <w:r w:rsidR="00273B75">
        <w:t>model area</w:t>
      </w:r>
      <w:r>
        <w:rPr>
          <w:color w:val="FF0000"/>
        </w:rPr>
        <w:t xml:space="preserve">. </w:t>
      </w:r>
      <w:r w:rsidRPr="004D0A69">
        <w:t xml:space="preserve">Excess precipitation for the 2D </w:t>
      </w:r>
      <w:r w:rsidR="00D07BAC">
        <w:t>mesh was</w:t>
      </w:r>
      <w:r w:rsidRPr="004D0A69">
        <w:t xml:space="preserve"> developed as described in Section </w:t>
      </w:r>
      <w:r>
        <w:fldChar w:fldCharType="begin"/>
      </w:r>
      <w:r>
        <w:instrText xml:space="preserve"> REF _Ref81923609 \r \h </w:instrText>
      </w:r>
      <w:r>
        <w:fldChar w:fldCharType="separate"/>
      </w:r>
      <w:r w:rsidR="007D7CA7">
        <w:t>2.2.3.1</w:t>
      </w:r>
      <w:r>
        <w:fldChar w:fldCharType="end"/>
      </w:r>
      <w:r w:rsidRPr="000E392F">
        <w:t xml:space="preserve"> </w:t>
      </w:r>
      <w:r w:rsidRPr="004D0A69">
        <w:t xml:space="preserve">USGS streamflow gage data were leveraged to estimate peak flows for downstream gages within each work area for calibration purposes, as discussed in Section </w:t>
      </w:r>
      <w:r>
        <w:fldChar w:fldCharType="begin"/>
      </w:r>
      <w:r>
        <w:instrText xml:space="preserve"> REF _Ref63069192 \r \h </w:instrText>
      </w:r>
      <w:r>
        <w:fldChar w:fldCharType="separate"/>
      </w:r>
      <w:r w:rsidR="007D7CA7">
        <w:t>3.1</w:t>
      </w:r>
      <w:r>
        <w:fldChar w:fldCharType="end"/>
      </w:r>
      <w:r w:rsidRPr="004D0A69">
        <w:t>.</w:t>
      </w:r>
      <w:r>
        <w:t xml:space="preserve"> </w:t>
      </w:r>
      <w:r w:rsidRPr="0048315A">
        <w:t xml:space="preserve">The 10-, 4-, 2-, 1-, and 0.2-percent annual chance 24-hour precipitation depths for all sub-basin elements were determined by area-weighted intersection of gridded PFDS data with sub-basins. </w:t>
      </w:r>
    </w:p>
    <w:p w14:paraId="3467F6DF" w14:textId="43B318C5" w:rsidR="003C754B" w:rsidRDefault="003C754B" w:rsidP="006B0ED0">
      <w:pPr>
        <w:pStyle w:val="BodyText"/>
        <w:spacing w:after="0"/>
      </w:pPr>
      <w:r w:rsidRPr="0048315A">
        <w:lastRenderedPageBreak/>
        <w:t>USGS streamflow gage data w</w:t>
      </w:r>
      <w:r w:rsidR="0074598D">
        <w:t>as</w:t>
      </w:r>
      <w:r w:rsidRPr="0048315A">
        <w:t xml:space="preserve"> leveraged to estimate peak flows for downstream gages </w:t>
      </w:r>
      <w:r w:rsidR="00D07BAC">
        <w:t xml:space="preserve">within each model </w:t>
      </w:r>
      <w:r w:rsidRPr="0048315A">
        <w:t>for calibration purposes.</w:t>
      </w:r>
      <w:r>
        <w:t xml:space="preserve"> Model</w:t>
      </w:r>
      <w:r w:rsidR="00D07BAC">
        <w:t xml:space="preserve"> flows</w:t>
      </w:r>
      <w:r>
        <w:t xml:space="preserve"> are compared to known USGS peak flows to</w:t>
      </w:r>
      <w:r w:rsidR="00916C4C">
        <w:t xml:space="preserve"> validate the model results</w:t>
      </w:r>
      <w:r>
        <w:t>.</w:t>
      </w:r>
      <w:r w:rsidR="009635A2">
        <w:t xml:space="preserve"> There are seven gages present in the Cowhouse study area. </w:t>
      </w:r>
      <w:r w:rsidR="00F87EAC">
        <w:t xml:space="preserve">Gages 08101200, 08101300, 08101310, 08101330, 08101340, and 08101500 were not utilized because the gages have less than 10 years of record, did not provide daily discharge data, or have data that is too old to consider. Gage 08101000, the single gage that was used for analysis in this study, is listed in </w:t>
      </w:r>
      <w:r>
        <w:fldChar w:fldCharType="begin"/>
      </w:r>
      <w:r>
        <w:instrText xml:space="preserve"> REF _Ref61260494 \h </w:instrText>
      </w:r>
      <w:r>
        <w:fldChar w:fldCharType="separate"/>
      </w:r>
      <w:r w:rsidR="007D7CA7">
        <w:t xml:space="preserve">Table </w:t>
      </w:r>
      <w:r w:rsidR="007D7CA7">
        <w:rPr>
          <w:noProof/>
        </w:rPr>
        <w:t>3</w:t>
      </w:r>
      <w:r>
        <w:fldChar w:fldCharType="end"/>
      </w:r>
      <w:r w:rsidRPr="0048315A">
        <w:t>.</w:t>
      </w:r>
      <w:r>
        <w:t xml:space="preserve"> </w:t>
      </w:r>
    </w:p>
    <w:p w14:paraId="20134708" w14:textId="77777777" w:rsidR="00712222" w:rsidRDefault="00712222" w:rsidP="000A3B6D">
      <w:pPr>
        <w:pStyle w:val="BodyText"/>
        <w:spacing w:after="0"/>
      </w:pPr>
    </w:p>
    <w:p w14:paraId="68D9B449" w14:textId="78989655" w:rsidR="00114B32" w:rsidRDefault="00114B32" w:rsidP="000A3B6D">
      <w:pPr>
        <w:pStyle w:val="Caption"/>
        <w:jc w:val="center"/>
      </w:pPr>
      <w:bookmarkStart w:id="46" w:name="_Ref61260494"/>
      <w:bookmarkStart w:id="47" w:name="_Toc112244166"/>
      <w:r>
        <w:t xml:space="preserve">Table </w:t>
      </w:r>
      <w:r>
        <w:fldChar w:fldCharType="begin"/>
      </w:r>
      <w:r>
        <w:instrText xml:space="preserve"> SEQ Table \* ARABIC </w:instrText>
      </w:r>
      <w:r>
        <w:fldChar w:fldCharType="separate"/>
      </w:r>
      <w:r w:rsidR="007D7CA7">
        <w:rPr>
          <w:noProof/>
        </w:rPr>
        <w:t>3</w:t>
      </w:r>
      <w:r>
        <w:fldChar w:fldCharType="end"/>
      </w:r>
      <w:bookmarkEnd w:id="46"/>
      <w:r>
        <w:t>: USGS Peak Streamflow Gage</w:t>
      </w:r>
      <w:bookmarkEnd w:id="47"/>
      <w:r w:rsidR="00C55775">
        <w:t xml:space="preserve"> </w:t>
      </w:r>
    </w:p>
    <w:tbl>
      <w:tblPr>
        <w:tblStyle w:val="CompassTable1"/>
        <w:tblW w:w="9054" w:type="dxa"/>
        <w:jc w:val="center"/>
        <w:tblLook w:val="04A0" w:firstRow="1" w:lastRow="0" w:firstColumn="1" w:lastColumn="0" w:noHBand="0" w:noVBand="1"/>
      </w:tblPr>
      <w:tblGrid>
        <w:gridCol w:w="1838"/>
        <w:gridCol w:w="3692"/>
        <w:gridCol w:w="1900"/>
        <w:gridCol w:w="1624"/>
      </w:tblGrid>
      <w:tr w:rsidR="00114B32" w:rsidRPr="0048315A" w14:paraId="76E39C9E" w14:textId="77777777" w:rsidTr="00F24100">
        <w:trPr>
          <w:cnfStyle w:val="100000000000" w:firstRow="1" w:lastRow="0" w:firstColumn="0" w:lastColumn="0" w:oddVBand="0" w:evenVBand="0" w:oddHBand="0" w:evenHBand="0" w:firstRowFirstColumn="0" w:firstRowLastColumn="0" w:lastRowFirstColumn="0" w:lastRowLastColumn="0"/>
          <w:jc w:val="center"/>
        </w:trPr>
        <w:tc>
          <w:tcPr>
            <w:tcW w:w="1838" w:type="dxa"/>
            <w:tcBorders>
              <w:bottom w:val="single" w:sz="4" w:space="0" w:color="3379BD"/>
            </w:tcBorders>
            <w:shd w:val="clear" w:color="auto" w:fill="00B5E2" w:themeFill="accent1"/>
          </w:tcPr>
          <w:p w14:paraId="02E63AA7" w14:textId="77777777" w:rsidR="00114B32" w:rsidRPr="0048315A" w:rsidRDefault="00114B32" w:rsidP="006A25D1">
            <w:pPr>
              <w:keepNext/>
              <w:keepLines/>
              <w:tabs>
                <w:tab w:val="clear" w:pos="284"/>
              </w:tabs>
              <w:spacing w:before="60" w:after="60" w:line="240" w:lineRule="auto"/>
              <w:jc w:val="center"/>
              <w:rPr>
                <w:rFonts w:eastAsia="Times New Roman" w:cs="Times New Roman"/>
                <w:kern w:val="0"/>
                <w:sz w:val="20"/>
                <w:szCs w:val="20"/>
              </w:rPr>
            </w:pPr>
            <w:r w:rsidRPr="0048315A">
              <w:rPr>
                <w:rFonts w:eastAsia="Times New Roman" w:cs="Times New Roman"/>
                <w:kern w:val="0"/>
                <w:sz w:val="20"/>
                <w:szCs w:val="20"/>
              </w:rPr>
              <w:t>Gage ID</w:t>
            </w:r>
          </w:p>
        </w:tc>
        <w:tc>
          <w:tcPr>
            <w:tcW w:w="3692" w:type="dxa"/>
            <w:tcBorders>
              <w:bottom w:val="single" w:sz="4" w:space="0" w:color="3379BD"/>
            </w:tcBorders>
            <w:shd w:val="clear" w:color="auto" w:fill="00B5E2" w:themeFill="accent1"/>
          </w:tcPr>
          <w:p w14:paraId="5564BBE2" w14:textId="77777777" w:rsidR="00114B32" w:rsidRPr="0048315A" w:rsidRDefault="00114B32" w:rsidP="006A25D1">
            <w:pPr>
              <w:keepNext/>
              <w:keepLines/>
              <w:tabs>
                <w:tab w:val="clear" w:pos="284"/>
              </w:tabs>
              <w:spacing w:before="60" w:after="60" w:line="240" w:lineRule="auto"/>
              <w:jc w:val="center"/>
              <w:rPr>
                <w:rFonts w:eastAsia="Times New Roman" w:cs="Times New Roman"/>
                <w:kern w:val="0"/>
                <w:sz w:val="20"/>
                <w:szCs w:val="20"/>
              </w:rPr>
            </w:pPr>
            <w:r w:rsidRPr="0048315A">
              <w:rPr>
                <w:rFonts w:eastAsia="Times New Roman" w:cs="Times New Roman"/>
                <w:kern w:val="0"/>
                <w:sz w:val="20"/>
                <w:szCs w:val="20"/>
              </w:rPr>
              <w:t>Flooding Source and Location</w:t>
            </w:r>
          </w:p>
        </w:tc>
        <w:tc>
          <w:tcPr>
            <w:tcW w:w="1900" w:type="dxa"/>
            <w:tcBorders>
              <w:bottom w:val="single" w:sz="4" w:space="0" w:color="3379BD"/>
            </w:tcBorders>
            <w:shd w:val="clear" w:color="auto" w:fill="00B5E2" w:themeFill="accent1"/>
          </w:tcPr>
          <w:p w14:paraId="1488B52F" w14:textId="77777777" w:rsidR="00114B32" w:rsidRPr="0048315A" w:rsidRDefault="00114B32" w:rsidP="006A25D1">
            <w:pPr>
              <w:keepNext/>
              <w:keepLines/>
              <w:tabs>
                <w:tab w:val="clear" w:pos="284"/>
              </w:tabs>
              <w:spacing w:before="60" w:after="60" w:line="240" w:lineRule="auto"/>
              <w:jc w:val="center"/>
              <w:rPr>
                <w:rFonts w:eastAsia="Times New Roman" w:cs="Times New Roman"/>
                <w:kern w:val="0"/>
                <w:sz w:val="20"/>
                <w:szCs w:val="20"/>
              </w:rPr>
            </w:pPr>
            <w:r w:rsidRPr="0048315A">
              <w:rPr>
                <w:rFonts w:eastAsia="Times New Roman" w:cs="Times New Roman"/>
                <w:kern w:val="0"/>
                <w:sz w:val="20"/>
                <w:szCs w:val="20"/>
              </w:rPr>
              <w:t>Published Drainage Area (mi</w:t>
            </w:r>
            <w:r w:rsidRPr="0048315A">
              <w:rPr>
                <w:rFonts w:eastAsia="Times New Roman" w:cs="Times New Roman"/>
                <w:kern w:val="0"/>
                <w:sz w:val="20"/>
                <w:szCs w:val="20"/>
                <w:vertAlign w:val="superscript"/>
              </w:rPr>
              <w:t>2</w:t>
            </w:r>
            <w:r w:rsidRPr="0048315A">
              <w:rPr>
                <w:rFonts w:eastAsia="Times New Roman" w:cs="Times New Roman"/>
                <w:kern w:val="0"/>
                <w:sz w:val="20"/>
                <w:szCs w:val="20"/>
              </w:rPr>
              <w:t>)</w:t>
            </w:r>
          </w:p>
        </w:tc>
        <w:tc>
          <w:tcPr>
            <w:tcW w:w="1624" w:type="dxa"/>
            <w:tcBorders>
              <w:bottom w:val="single" w:sz="4" w:space="0" w:color="3379BD"/>
            </w:tcBorders>
            <w:shd w:val="clear" w:color="auto" w:fill="00B5E2" w:themeFill="accent1"/>
          </w:tcPr>
          <w:p w14:paraId="5B9B7BA7" w14:textId="77777777" w:rsidR="00114B32" w:rsidRPr="0048315A" w:rsidRDefault="00114B32" w:rsidP="006A25D1">
            <w:pPr>
              <w:keepNext/>
              <w:keepLines/>
              <w:tabs>
                <w:tab w:val="clear" w:pos="284"/>
              </w:tabs>
              <w:spacing w:before="60" w:after="60" w:line="240" w:lineRule="auto"/>
              <w:jc w:val="center"/>
              <w:rPr>
                <w:rFonts w:eastAsia="Times New Roman" w:cs="Times New Roman"/>
                <w:kern w:val="0"/>
                <w:sz w:val="20"/>
                <w:szCs w:val="20"/>
              </w:rPr>
            </w:pPr>
            <w:r w:rsidRPr="0048315A">
              <w:rPr>
                <w:rFonts w:eastAsia="Times New Roman" w:cs="Times New Roman"/>
                <w:kern w:val="0"/>
                <w:sz w:val="20"/>
                <w:szCs w:val="20"/>
              </w:rPr>
              <w:t>Period of Record</w:t>
            </w:r>
          </w:p>
        </w:tc>
      </w:tr>
      <w:tr w:rsidR="006949B5" w:rsidRPr="0048315A" w14:paraId="18FB5530" w14:textId="77777777" w:rsidTr="00F24100">
        <w:trPr>
          <w:cnfStyle w:val="000000100000" w:firstRow="0" w:lastRow="0" w:firstColumn="0" w:lastColumn="0" w:oddVBand="0" w:evenVBand="0" w:oddHBand="1" w:evenHBand="0" w:firstRowFirstColumn="0" w:firstRowLastColumn="0" w:lastRowFirstColumn="0" w:lastRowLastColumn="0"/>
          <w:trHeight w:val="288"/>
          <w:jc w:val="center"/>
        </w:trPr>
        <w:tc>
          <w:tcPr>
            <w:tcW w:w="1838" w:type="dxa"/>
            <w:shd w:val="clear" w:color="auto" w:fill="auto"/>
            <w:vAlign w:val="top"/>
          </w:tcPr>
          <w:p w14:paraId="14FC4945" w14:textId="2C8B25E9" w:rsidR="006949B5" w:rsidRPr="009D2586" w:rsidDel="00D369D3" w:rsidRDefault="006949B5" w:rsidP="00273B75">
            <w:pPr>
              <w:tabs>
                <w:tab w:val="clear" w:pos="284"/>
              </w:tabs>
              <w:spacing w:before="20" w:after="20" w:line="240" w:lineRule="auto"/>
              <w:rPr>
                <w:rFonts w:eastAsia="Times New Roman" w:cs="Times New Roman"/>
                <w:kern w:val="0"/>
                <w:szCs w:val="20"/>
              </w:rPr>
            </w:pPr>
            <w:r w:rsidRPr="00163487">
              <w:rPr>
                <w:rFonts w:cs="Calibri"/>
                <w:color w:val="auto"/>
                <w:kern w:val="0"/>
                <w:szCs w:val="20"/>
              </w:rPr>
              <w:t>08</w:t>
            </w:r>
            <w:r w:rsidR="00273B75">
              <w:rPr>
                <w:rFonts w:cs="Calibri"/>
                <w:color w:val="auto"/>
                <w:kern w:val="0"/>
                <w:szCs w:val="20"/>
              </w:rPr>
              <w:t>101000</w:t>
            </w:r>
          </w:p>
        </w:tc>
        <w:tc>
          <w:tcPr>
            <w:tcW w:w="3692" w:type="dxa"/>
            <w:shd w:val="clear" w:color="auto" w:fill="auto"/>
            <w:vAlign w:val="top"/>
          </w:tcPr>
          <w:p w14:paraId="2D9396E3" w14:textId="11344813" w:rsidR="006949B5" w:rsidRPr="00273B75" w:rsidRDefault="00273B75" w:rsidP="006A25D1">
            <w:pPr>
              <w:tabs>
                <w:tab w:val="clear" w:pos="284"/>
              </w:tabs>
              <w:spacing w:before="20" w:after="20" w:line="240" w:lineRule="auto"/>
              <w:rPr>
                <w:rFonts w:eastAsia="Times New Roman" w:cs="Times New Roman"/>
                <w:kern w:val="0"/>
                <w:szCs w:val="20"/>
              </w:rPr>
            </w:pPr>
            <w:r w:rsidRPr="00273B75">
              <w:rPr>
                <w:rFonts w:cs="Calibri"/>
                <w:bCs/>
                <w:kern w:val="0"/>
                <w:sz w:val="22"/>
              </w:rPr>
              <w:t>Cowhouse CK at Pidcoke, TX</w:t>
            </w:r>
          </w:p>
        </w:tc>
        <w:tc>
          <w:tcPr>
            <w:tcW w:w="1900" w:type="dxa"/>
            <w:shd w:val="clear" w:color="auto" w:fill="auto"/>
            <w:vAlign w:val="top"/>
          </w:tcPr>
          <w:p w14:paraId="12104C7F" w14:textId="15051926" w:rsidR="006949B5" w:rsidRPr="009D2586" w:rsidRDefault="00273B75" w:rsidP="006A25D1">
            <w:pPr>
              <w:tabs>
                <w:tab w:val="clear" w:pos="284"/>
              </w:tabs>
              <w:spacing w:before="20" w:after="20" w:line="240" w:lineRule="auto"/>
              <w:jc w:val="center"/>
              <w:rPr>
                <w:rFonts w:eastAsia="Times New Roman" w:cs="Times New Roman"/>
                <w:kern w:val="0"/>
                <w:szCs w:val="20"/>
              </w:rPr>
            </w:pPr>
            <w:r>
              <w:rPr>
                <w:rFonts w:cs="Calibri"/>
                <w:color w:val="auto"/>
                <w:kern w:val="0"/>
                <w:szCs w:val="20"/>
              </w:rPr>
              <w:t>455</w:t>
            </w:r>
          </w:p>
        </w:tc>
        <w:tc>
          <w:tcPr>
            <w:tcW w:w="1624" w:type="dxa"/>
            <w:shd w:val="clear" w:color="auto" w:fill="auto"/>
            <w:vAlign w:val="top"/>
          </w:tcPr>
          <w:p w14:paraId="1653694C" w14:textId="718ACA6F" w:rsidR="006949B5" w:rsidRPr="009D2586" w:rsidRDefault="006949B5" w:rsidP="00273B75">
            <w:pPr>
              <w:tabs>
                <w:tab w:val="clear" w:pos="284"/>
              </w:tabs>
              <w:spacing w:line="240" w:lineRule="auto"/>
              <w:jc w:val="center"/>
              <w:rPr>
                <w:rFonts w:eastAsia="Calibri" w:cs="Times New Roman"/>
                <w:kern w:val="0"/>
                <w:szCs w:val="20"/>
              </w:rPr>
            </w:pPr>
            <w:r w:rsidRPr="00DF6AFD">
              <w:rPr>
                <w:rFonts w:cs="Calibri"/>
                <w:color w:val="auto"/>
                <w:kern w:val="0"/>
                <w:szCs w:val="20"/>
              </w:rPr>
              <w:t>19</w:t>
            </w:r>
            <w:r w:rsidR="005B7BA2">
              <w:rPr>
                <w:rFonts w:cs="Calibri"/>
                <w:color w:val="auto"/>
                <w:kern w:val="0"/>
                <w:szCs w:val="20"/>
              </w:rPr>
              <w:t>00-2021</w:t>
            </w:r>
          </w:p>
        </w:tc>
      </w:tr>
    </w:tbl>
    <w:p w14:paraId="7601C56F" w14:textId="77777777" w:rsidR="001F2D00" w:rsidRDefault="001F2D00" w:rsidP="0048315A">
      <w:pPr>
        <w:pStyle w:val="BodyText"/>
      </w:pPr>
    </w:p>
    <w:p w14:paraId="3D002F08" w14:textId="77777777" w:rsidR="00E40918" w:rsidRDefault="00976A14" w:rsidP="00E413BF">
      <w:pPr>
        <w:pStyle w:val="Heading4"/>
      </w:pPr>
      <w:bookmarkStart w:id="48" w:name="_Ref81923609"/>
      <w:bookmarkStart w:id="49" w:name="_Toc112244127"/>
      <w:r w:rsidRPr="00E413BF">
        <w:t>Excess Precipitation for 2D Computational Mesh</w:t>
      </w:r>
      <w:bookmarkEnd w:id="48"/>
      <w:bookmarkEnd w:id="49"/>
    </w:p>
    <w:p w14:paraId="30C5A23B" w14:textId="28AF7F03" w:rsidR="00DB7F14" w:rsidRPr="004D0A69" w:rsidRDefault="00107EA5" w:rsidP="00E40918">
      <w:pPr>
        <w:pStyle w:val="BodyText"/>
      </w:pPr>
      <w:r>
        <w:t>HEC-HMS version 4.8</w:t>
      </w:r>
      <w:r w:rsidR="00E40918" w:rsidRPr="004D0A69">
        <w:t xml:space="preserve"> was used to apply the </w:t>
      </w:r>
      <w:r w:rsidR="00E40918">
        <w:t>Soil Conservation Service (</w:t>
      </w:r>
      <w:r w:rsidR="00E40918" w:rsidRPr="004D0A69">
        <w:t>SCS</w:t>
      </w:r>
      <w:r w:rsidR="00E40918">
        <w:t>)</w:t>
      </w:r>
      <w:r w:rsidR="00E40918" w:rsidRPr="004D0A69">
        <w:t xml:space="preserve"> Curve Number</w:t>
      </w:r>
      <w:r w:rsidR="002D637E">
        <w:t xml:space="preserve"> (CN)</w:t>
      </w:r>
      <w:r w:rsidR="00E40918" w:rsidRPr="004D0A69">
        <w:t xml:space="preserve"> method to calculate losses and define excess precipitation for </w:t>
      </w:r>
      <w:r w:rsidR="00E40918">
        <w:t>this</w:t>
      </w:r>
      <w:r w:rsidR="00E40918" w:rsidRPr="004D0A69">
        <w:t xml:space="preserve"> watershed</w:t>
      </w:r>
      <w:r w:rsidR="00E40918" w:rsidRPr="0004147B">
        <w:t>. Temporal distributions of point rainfall totals were defined using 24-</w:t>
      </w:r>
      <w:r w:rsidR="006228F2" w:rsidRPr="0004147B">
        <w:t>hour, frequency-based</w:t>
      </w:r>
      <w:r w:rsidR="00E40918" w:rsidRPr="0004147B">
        <w:t xml:space="preserve"> storm distributions.</w:t>
      </w:r>
      <w:r w:rsidR="00E40918" w:rsidRPr="004D0A69">
        <w:t xml:space="preserve"> The plus and minus standard error for the 1</w:t>
      </w:r>
      <w:r w:rsidR="005C72F6">
        <w:t>-percent</w:t>
      </w:r>
      <w:r w:rsidR="00E40918" w:rsidRPr="004D0A69">
        <w:t xml:space="preserve"> annual chance precipitation depths were determined as the upper and lower 84% confidence limits on the nominal 1</w:t>
      </w:r>
      <w:r w:rsidR="005C72F6">
        <w:t>-percent</w:t>
      </w:r>
      <w:r w:rsidR="00E40918" w:rsidRPr="004D0A69">
        <w:t xml:space="preserve"> depth, assuming a normal distribution of the logarithms for the precipitation depths.</w:t>
      </w:r>
      <w:r w:rsidR="0050705B">
        <w:t xml:space="preserve"> </w:t>
      </w:r>
      <w:r w:rsidR="00DB7F14">
        <w:t xml:space="preserve">An areal reduction as per </w:t>
      </w:r>
      <w:r w:rsidR="0050705B">
        <w:t>Technical Paper 40 (</w:t>
      </w:r>
      <w:r w:rsidR="00DB7F14">
        <w:t>TP</w:t>
      </w:r>
      <w:r w:rsidR="0050705B">
        <w:t>-</w:t>
      </w:r>
      <w:r w:rsidR="00DB7F14">
        <w:t>40</w:t>
      </w:r>
      <w:r w:rsidR="0050705B">
        <w:t>)</w:t>
      </w:r>
      <w:r w:rsidR="00681A1C">
        <w:t xml:space="preserve"> </w:t>
      </w:r>
      <w:r w:rsidR="00DB7F14">
        <w:t xml:space="preserve">was used in HEC-HMS on all recurrence interval total precipitation depths in order to determine the effective precipitation for the sub-basin representing </w:t>
      </w:r>
      <w:r w:rsidR="007D1268">
        <w:t xml:space="preserve">the </w:t>
      </w:r>
      <w:r w:rsidR="00DB7F14">
        <w:t>2D mesh.</w:t>
      </w:r>
      <w:r w:rsidR="0050705B">
        <w:t xml:space="preserve"> </w:t>
      </w:r>
    </w:p>
    <w:p w14:paraId="1D42BB4E" w14:textId="0B76A256" w:rsidR="00E40918" w:rsidRPr="004D0A69" w:rsidRDefault="00E40918" w:rsidP="00E40918">
      <w:pPr>
        <w:pStyle w:val="BodyText"/>
      </w:pPr>
      <w:r w:rsidRPr="004D0A69">
        <w:t xml:space="preserve">In addition to recurrence interval precipitation estimates, NOAA Atlas 14 provides 90% confidence intervals of reported precipitation values. </w:t>
      </w:r>
      <w:r>
        <w:t xml:space="preserve"> </w:t>
      </w:r>
      <w:r w:rsidRPr="004D0A69">
        <w:t>On a normal distribution curve, 90% confidence intervals (i.e. the upper and lower 95% confidence limits) correspond to +/- 1.645 standard deviations. The 1</w:t>
      </w:r>
      <w:r w:rsidR="005C72F6">
        <w:t>-percent</w:t>
      </w:r>
      <w:r w:rsidRPr="004D0A69">
        <w:t xml:space="preserve"> plus and minus events are defined to be one standard deviation above and below the 1</w:t>
      </w:r>
      <w:r w:rsidR="005C72F6">
        <w:t>-percent</w:t>
      </w:r>
      <w:r w:rsidRPr="004D0A69">
        <w:t xml:space="preserve"> event.</w:t>
      </w:r>
      <w:r>
        <w:t xml:space="preserve"> </w:t>
      </w:r>
      <w:r w:rsidRPr="004D0A69">
        <w:t xml:space="preserve"> It should be noted that the standard errors for the 1</w:t>
      </w:r>
      <w:r w:rsidR="005C72F6">
        <w:t>-percent</w:t>
      </w:r>
      <w:r w:rsidRPr="004D0A69">
        <w:t xml:space="preserve"> rainfall depth were based on the depth used post-areal reduction.</w:t>
      </w:r>
      <w:r w:rsidR="00773C8E" w:rsidRPr="00773C8E">
        <w:t xml:space="preserve"> The estimated 1-percent plus and minus rainfall depths are shown, alongside the other events, in Ta</w:t>
      </w:r>
      <w:r w:rsidR="00773C8E">
        <w:t xml:space="preserve">ble 6 later in this section. </w:t>
      </w:r>
      <w:r w:rsidR="0050705B">
        <w:t xml:space="preserve"> </w:t>
      </w:r>
    </w:p>
    <w:p w14:paraId="241852F7" w14:textId="4A46A9A6" w:rsidR="00976A14" w:rsidRDefault="00E40918" w:rsidP="00F5455A">
      <w:pPr>
        <w:pStyle w:val="BodyText"/>
      </w:pPr>
      <w:r w:rsidRPr="004D0A69">
        <w:t>C</w:t>
      </w:r>
      <w:r w:rsidR="00F24100">
        <w:t>urve numbers</w:t>
      </w:r>
      <w:r w:rsidR="002D637E">
        <w:t xml:space="preserve"> </w:t>
      </w:r>
      <w:r w:rsidRPr="004D0A69">
        <w:t>were computed by intersecting the National Land Cover Dataset (NLCD) 201</w:t>
      </w:r>
      <w:r w:rsidR="00477A0B">
        <w:t>9</w:t>
      </w:r>
      <w:r w:rsidRPr="004D0A69">
        <w:t xml:space="preserve"> coverage and NRCS soils data based on the matrix presented in</w:t>
      </w:r>
      <w:r>
        <w:t xml:space="preserve"> </w:t>
      </w:r>
      <w:r>
        <w:fldChar w:fldCharType="begin"/>
      </w:r>
      <w:r>
        <w:instrText xml:space="preserve"> REF _Ref61506020 \h </w:instrText>
      </w:r>
      <w:r>
        <w:fldChar w:fldCharType="separate"/>
      </w:r>
      <w:r w:rsidR="007D7CA7">
        <w:t xml:space="preserve">Table </w:t>
      </w:r>
      <w:r w:rsidR="007D7CA7">
        <w:rPr>
          <w:noProof/>
        </w:rPr>
        <w:t>4</w:t>
      </w:r>
      <w:r>
        <w:fldChar w:fldCharType="end"/>
      </w:r>
      <w:r w:rsidRPr="004D0A69">
        <w:t>.</w:t>
      </w:r>
      <w:r w:rsidR="00F5455A" w:rsidRPr="00E413BF">
        <w:t xml:space="preserve"> </w:t>
      </w:r>
    </w:p>
    <w:p w14:paraId="67AB0B83" w14:textId="37A30934" w:rsidR="00320CAA" w:rsidRPr="00E413BF" w:rsidRDefault="00320CAA" w:rsidP="00320CAA">
      <w:pPr>
        <w:tabs>
          <w:tab w:val="clear" w:pos="284"/>
        </w:tabs>
        <w:spacing w:line="240" w:lineRule="auto"/>
      </w:pPr>
    </w:p>
    <w:p w14:paraId="543386FA" w14:textId="575A6396" w:rsidR="00EA2332" w:rsidRDefault="00EA2332" w:rsidP="00EA2332">
      <w:pPr>
        <w:pStyle w:val="Caption"/>
        <w:jc w:val="center"/>
      </w:pPr>
      <w:bookmarkStart w:id="50" w:name="_Ref61506020"/>
      <w:bookmarkStart w:id="51" w:name="_Toc112244167"/>
      <w:r>
        <w:t xml:space="preserve">Table </w:t>
      </w:r>
      <w:r>
        <w:fldChar w:fldCharType="begin"/>
      </w:r>
      <w:r>
        <w:instrText xml:space="preserve"> SEQ Table \* ARABIC </w:instrText>
      </w:r>
      <w:r>
        <w:fldChar w:fldCharType="separate"/>
      </w:r>
      <w:r w:rsidR="007D7CA7">
        <w:rPr>
          <w:noProof/>
        </w:rPr>
        <w:t>4</w:t>
      </w:r>
      <w:r>
        <w:fldChar w:fldCharType="end"/>
      </w:r>
      <w:bookmarkEnd w:id="50"/>
      <w:r>
        <w:t xml:space="preserve">: </w:t>
      </w:r>
      <w:r w:rsidRPr="00B83059">
        <w:t>Land Use</w:t>
      </w:r>
      <w:r w:rsidR="00EC0029">
        <w:t>(LU)</w:t>
      </w:r>
      <w:r w:rsidRPr="00B83059">
        <w:t>-Soils-CN Matrix for Defining Initial Curve Number</w:t>
      </w:r>
      <w:bookmarkEnd w:id="51"/>
    </w:p>
    <w:tbl>
      <w:tblPr>
        <w:tblW w:w="9540" w:type="dxa"/>
        <w:jc w:val="center"/>
        <w:tblLook w:val="04A0" w:firstRow="1" w:lastRow="0" w:firstColumn="1" w:lastColumn="0" w:noHBand="0" w:noVBand="1"/>
      </w:tblPr>
      <w:tblGrid>
        <w:gridCol w:w="1308"/>
        <w:gridCol w:w="3076"/>
        <w:gridCol w:w="1289"/>
        <w:gridCol w:w="1289"/>
        <w:gridCol w:w="1289"/>
        <w:gridCol w:w="1289"/>
      </w:tblGrid>
      <w:tr w:rsidR="006B0ED0" w:rsidRPr="006B0ED0" w14:paraId="15C6CA68" w14:textId="77777777" w:rsidTr="0000189C">
        <w:trPr>
          <w:trHeight w:val="525"/>
          <w:tblHeader/>
          <w:jc w:val="center"/>
        </w:trPr>
        <w:tc>
          <w:tcPr>
            <w:tcW w:w="1308" w:type="dxa"/>
            <w:vMerge w:val="restart"/>
            <w:tcBorders>
              <w:top w:val="single" w:sz="8" w:space="0" w:color="3379BD"/>
              <w:left w:val="single" w:sz="8" w:space="0" w:color="3379BD"/>
              <w:bottom w:val="single" w:sz="8" w:space="0" w:color="3379BD"/>
              <w:right w:val="nil"/>
            </w:tcBorders>
            <w:shd w:val="clear" w:color="000000" w:fill="00B5E2"/>
            <w:vAlign w:val="center"/>
            <w:hideMark/>
          </w:tcPr>
          <w:p w14:paraId="557EF447" w14:textId="77777777" w:rsidR="006B0ED0" w:rsidRPr="006B0ED0" w:rsidRDefault="006B0ED0" w:rsidP="006B0ED0">
            <w:pPr>
              <w:jc w:val="center"/>
              <w:rPr>
                <w:rFonts w:ascii="Calibri" w:eastAsia="Times New Roman" w:hAnsi="Calibri" w:cs="Times New Roman"/>
                <w:b/>
                <w:bCs/>
                <w:color w:val="FFFFFF"/>
                <w:sz w:val="20"/>
                <w:szCs w:val="20"/>
              </w:rPr>
            </w:pPr>
            <w:r w:rsidRPr="006B0ED0">
              <w:rPr>
                <w:rFonts w:ascii="Calibri" w:eastAsia="Times New Roman" w:hAnsi="Calibri" w:cs="Arial"/>
                <w:b/>
                <w:bCs/>
                <w:color w:val="FFFFFF"/>
                <w:sz w:val="20"/>
                <w:szCs w:val="20"/>
              </w:rPr>
              <w:t>LU_GridCode</w:t>
            </w:r>
          </w:p>
        </w:tc>
        <w:tc>
          <w:tcPr>
            <w:tcW w:w="3076" w:type="dxa"/>
            <w:vMerge w:val="restart"/>
            <w:tcBorders>
              <w:top w:val="single" w:sz="8" w:space="0" w:color="3379BD"/>
              <w:left w:val="single" w:sz="8" w:space="0" w:color="3379BD"/>
              <w:bottom w:val="single" w:sz="8" w:space="0" w:color="3379BD"/>
              <w:right w:val="single" w:sz="8" w:space="0" w:color="3379BD"/>
            </w:tcBorders>
            <w:shd w:val="clear" w:color="000000" w:fill="00B5E2"/>
            <w:vAlign w:val="center"/>
            <w:hideMark/>
          </w:tcPr>
          <w:p w14:paraId="026E2635" w14:textId="77777777" w:rsidR="006B0ED0" w:rsidRPr="006B0ED0" w:rsidRDefault="006B0ED0" w:rsidP="006B0ED0">
            <w:pPr>
              <w:jc w:val="center"/>
              <w:rPr>
                <w:rFonts w:ascii="Calibri" w:eastAsia="Times New Roman" w:hAnsi="Calibri" w:cs="Times New Roman"/>
                <w:b/>
                <w:bCs/>
                <w:color w:val="FFFFFF"/>
                <w:sz w:val="20"/>
                <w:szCs w:val="20"/>
              </w:rPr>
            </w:pPr>
            <w:r w:rsidRPr="006B0ED0">
              <w:rPr>
                <w:rFonts w:ascii="Calibri" w:eastAsia="Times New Roman" w:hAnsi="Calibri" w:cs="Arial"/>
                <w:b/>
                <w:bCs/>
                <w:color w:val="FFFFFF"/>
                <w:sz w:val="20"/>
                <w:szCs w:val="20"/>
              </w:rPr>
              <w:t>NLCD LU Description</w:t>
            </w:r>
          </w:p>
        </w:tc>
        <w:tc>
          <w:tcPr>
            <w:tcW w:w="5156" w:type="dxa"/>
            <w:gridSpan w:val="4"/>
            <w:tcBorders>
              <w:top w:val="single" w:sz="8" w:space="0" w:color="3379BD"/>
              <w:left w:val="nil"/>
              <w:bottom w:val="single" w:sz="8" w:space="0" w:color="3379BD"/>
              <w:right w:val="single" w:sz="8" w:space="0" w:color="3379BD"/>
            </w:tcBorders>
            <w:shd w:val="clear" w:color="000000" w:fill="00B5E2"/>
            <w:vAlign w:val="center"/>
            <w:hideMark/>
          </w:tcPr>
          <w:p w14:paraId="56BC6DA2" w14:textId="77777777" w:rsidR="006B0ED0" w:rsidRPr="006B0ED0" w:rsidRDefault="006B0ED0" w:rsidP="006B0ED0">
            <w:pPr>
              <w:jc w:val="center"/>
              <w:rPr>
                <w:rFonts w:ascii="Calibri" w:eastAsia="Times New Roman" w:hAnsi="Calibri" w:cs="Times New Roman"/>
                <w:b/>
                <w:bCs/>
                <w:color w:val="FFFFFF"/>
                <w:sz w:val="20"/>
                <w:szCs w:val="20"/>
              </w:rPr>
            </w:pPr>
            <w:r w:rsidRPr="006B0ED0">
              <w:rPr>
                <w:rFonts w:ascii="Calibri" w:eastAsia="Times New Roman" w:hAnsi="Calibri" w:cs="Times New Roman"/>
                <w:b/>
                <w:bCs/>
                <w:color w:val="FFFFFF"/>
                <w:sz w:val="20"/>
                <w:szCs w:val="20"/>
              </w:rPr>
              <w:t>Hydrologic Soil Group</w:t>
            </w:r>
          </w:p>
        </w:tc>
      </w:tr>
      <w:tr w:rsidR="006B0ED0" w:rsidRPr="006B0ED0" w14:paraId="12DB8317" w14:textId="77777777" w:rsidTr="0000189C">
        <w:trPr>
          <w:trHeight w:val="315"/>
          <w:tblHeader/>
          <w:jc w:val="center"/>
        </w:trPr>
        <w:tc>
          <w:tcPr>
            <w:tcW w:w="1308" w:type="dxa"/>
            <w:vMerge/>
            <w:tcBorders>
              <w:top w:val="single" w:sz="8" w:space="0" w:color="3379BD"/>
              <w:left w:val="single" w:sz="8" w:space="0" w:color="3379BD"/>
              <w:bottom w:val="single" w:sz="8" w:space="0" w:color="3379BD"/>
              <w:right w:val="nil"/>
            </w:tcBorders>
            <w:vAlign w:val="center"/>
            <w:hideMark/>
          </w:tcPr>
          <w:p w14:paraId="064FA724" w14:textId="77777777" w:rsidR="006B0ED0" w:rsidRPr="006B0ED0" w:rsidRDefault="006B0ED0" w:rsidP="006B0ED0">
            <w:pPr>
              <w:rPr>
                <w:rFonts w:ascii="Calibri" w:eastAsia="Times New Roman" w:hAnsi="Calibri" w:cs="Times New Roman"/>
                <w:b/>
                <w:bCs/>
                <w:color w:val="FFFFFF"/>
                <w:sz w:val="20"/>
                <w:szCs w:val="20"/>
              </w:rPr>
            </w:pPr>
          </w:p>
        </w:tc>
        <w:tc>
          <w:tcPr>
            <w:tcW w:w="3076" w:type="dxa"/>
            <w:vMerge/>
            <w:tcBorders>
              <w:top w:val="single" w:sz="8" w:space="0" w:color="3379BD"/>
              <w:left w:val="single" w:sz="8" w:space="0" w:color="3379BD"/>
              <w:bottom w:val="single" w:sz="8" w:space="0" w:color="3379BD"/>
              <w:right w:val="single" w:sz="8" w:space="0" w:color="3379BD"/>
            </w:tcBorders>
            <w:vAlign w:val="center"/>
            <w:hideMark/>
          </w:tcPr>
          <w:p w14:paraId="38CBBBC3" w14:textId="77777777" w:rsidR="006B0ED0" w:rsidRPr="006B0ED0" w:rsidRDefault="006B0ED0" w:rsidP="006B0ED0">
            <w:pPr>
              <w:rPr>
                <w:rFonts w:ascii="Calibri" w:eastAsia="Times New Roman" w:hAnsi="Calibri" w:cs="Times New Roman"/>
                <w:b/>
                <w:bCs/>
                <w:color w:val="FFFFFF"/>
                <w:sz w:val="20"/>
                <w:szCs w:val="20"/>
              </w:rPr>
            </w:pPr>
          </w:p>
        </w:tc>
        <w:tc>
          <w:tcPr>
            <w:tcW w:w="1289" w:type="dxa"/>
            <w:tcBorders>
              <w:top w:val="single" w:sz="8" w:space="0" w:color="3379BD"/>
              <w:left w:val="nil"/>
              <w:bottom w:val="single" w:sz="8" w:space="0" w:color="3379BD"/>
              <w:right w:val="single" w:sz="8" w:space="0" w:color="3379BD"/>
            </w:tcBorders>
            <w:shd w:val="clear" w:color="000000" w:fill="00B5E2"/>
            <w:vAlign w:val="center"/>
            <w:hideMark/>
          </w:tcPr>
          <w:p w14:paraId="7AEEFDB4" w14:textId="77777777" w:rsidR="006B0ED0" w:rsidRPr="006B0ED0" w:rsidRDefault="006B0ED0" w:rsidP="006B0ED0">
            <w:pPr>
              <w:jc w:val="center"/>
              <w:rPr>
                <w:rFonts w:ascii="Calibri" w:eastAsia="Times New Roman" w:hAnsi="Calibri" w:cs="Times New Roman"/>
                <w:b/>
                <w:bCs/>
                <w:color w:val="FFFFFF"/>
                <w:sz w:val="20"/>
                <w:szCs w:val="20"/>
              </w:rPr>
            </w:pPr>
            <w:r w:rsidRPr="006B0ED0">
              <w:rPr>
                <w:rFonts w:ascii="Calibri" w:eastAsia="Times New Roman" w:hAnsi="Calibri" w:cs="Arial"/>
                <w:b/>
                <w:bCs/>
                <w:color w:val="FFFFFF"/>
                <w:sz w:val="20"/>
                <w:szCs w:val="20"/>
              </w:rPr>
              <w:t>A</w:t>
            </w:r>
          </w:p>
        </w:tc>
        <w:tc>
          <w:tcPr>
            <w:tcW w:w="1289" w:type="dxa"/>
            <w:tcBorders>
              <w:top w:val="single" w:sz="8" w:space="0" w:color="3379BD"/>
              <w:left w:val="nil"/>
              <w:bottom w:val="single" w:sz="8" w:space="0" w:color="3379BD"/>
              <w:right w:val="single" w:sz="8" w:space="0" w:color="3379BD"/>
            </w:tcBorders>
            <w:shd w:val="clear" w:color="000000" w:fill="00B5E2"/>
            <w:vAlign w:val="center"/>
            <w:hideMark/>
          </w:tcPr>
          <w:p w14:paraId="3D87E8BD" w14:textId="77777777" w:rsidR="006B0ED0" w:rsidRPr="006B0ED0" w:rsidRDefault="006B0ED0" w:rsidP="006B0ED0">
            <w:pPr>
              <w:jc w:val="center"/>
              <w:rPr>
                <w:rFonts w:ascii="Calibri" w:eastAsia="Times New Roman" w:hAnsi="Calibri" w:cs="Times New Roman"/>
                <w:b/>
                <w:bCs/>
                <w:color w:val="FFFFFF"/>
                <w:sz w:val="20"/>
                <w:szCs w:val="20"/>
              </w:rPr>
            </w:pPr>
            <w:r w:rsidRPr="006B0ED0">
              <w:rPr>
                <w:rFonts w:ascii="Calibri" w:eastAsia="Times New Roman" w:hAnsi="Calibri" w:cs="Arial"/>
                <w:b/>
                <w:bCs/>
                <w:color w:val="FFFFFF"/>
                <w:sz w:val="20"/>
                <w:szCs w:val="20"/>
              </w:rPr>
              <w:t>B</w:t>
            </w:r>
          </w:p>
        </w:tc>
        <w:tc>
          <w:tcPr>
            <w:tcW w:w="1289" w:type="dxa"/>
            <w:tcBorders>
              <w:top w:val="single" w:sz="8" w:space="0" w:color="3379BD"/>
              <w:left w:val="nil"/>
              <w:bottom w:val="single" w:sz="8" w:space="0" w:color="3379BD"/>
              <w:right w:val="single" w:sz="8" w:space="0" w:color="3379BD"/>
            </w:tcBorders>
            <w:shd w:val="clear" w:color="000000" w:fill="00B5E2"/>
            <w:vAlign w:val="center"/>
            <w:hideMark/>
          </w:tcPr>
          <w:p w14:paraId="21F8685D" w14:textId="77777777" w:rsidR="006B0ED0" w:rsidRPr="006B0ED0" w:rsidRDefault="006B0ED0" w:rsidP="006B0ED0">
            <w:pPr>
              <w:jc w:val="center"/>
              <w:rPr>
                <w:rFonts w:ascii="Calibri" w:eastAsia="Times New Roman" w:hAnsi="Calibri" w:cs="Times New Roman"/>
                <w:b/>
                <w:bCs/>
                <w:color w:val="FFFFFF"/>
                <w:sz w:val="20"/>
                <w:szCs w:val="20"/>
              </w:rPr>
            </w:pPr>
            <w:r w:rsidRPr="006B0ED0">
              <w:rPr>
                <w:rFonts w:ascii="Calibri" w:eastAsia="Times New Roman" w:hAnsi="Calibri" w:cs="Arial"/>
                <w:b/>
                <w:bCs/>
                <w:color w:val="FFFFFF"/>
                <w:sz w:val="20"/>
                <w:szCs w:val="20"/>
              </w:rPr>
              <w:t>C</w:t>
            </w:r>
          </w:p>
        </w:tc>
        <w:tc>
          <w:tcPr>
            <w:tcW w:w="1289" w:type="dxa"/>
            <w:tcBorders>
              <w:top w:val="single" w:sz="8" w:space="0" w:color="3379BD"/>
              <w:left w:val="nil"/>
              <w:bottom w:val="single" w:sz="8" w:space="0" w:color="3379BD"/>
              <w:right w:val="single" w:sz="8" w:space="0" w:color="3379BD"/>
            </w:tcBorders>
            <w:shd w:val="clear" w:color="000000" w:fill="00B5E2"/>
            <w:vAlign w:val="center"/>
            <w:hideMark/>
          </w:tcPr>
          <w:p w14:paraId="51C8791F" w14:textId="77777777" w:rsidR="006B0ED0" w:rsidRPr="006B0ED0" w:rsidRDefault="006B0ED0" w:rsidP="006B0ED0">
            <w:pPr>
              <w:jc w:val="center"/>
              <w:rPr>
                <w:rFonts w:ascii="Calibri" w:eastAsia="Times New Roman" w:hAnsi="Calibri" w:cs="Times New Roman"/>
                <w:b/>
                <w:bCs/>
                <w:color w:val="FFFFFF"/>
                <w:sz w:val="20"/>
                <w:szCs w:val="20"/>
              </w:rPr>
            </w:pPr>
            <w:r w:rsidRPr="006B0ED0">
              <w:rPr>
                <w:rFonts w:ascii="Calibri" w:eastAsia="Times New Roman" w:hAnsi="Calibri" w:cs="Arial"/>
                <w:b/>
                <w:bCs/>
                <w:color w:val="FFFFFF"/>
                <w:sz w:val="20"/>
                <w:szCs w:val="20"/>
              </w:rPr>
              <w:t>D</w:t>
            </w:r>
          </w:p>
        </w:tc>
      </w:tr>
      <w:tr w:rsidR="006B0ED0" w:rsidRPr="006B0ED0" w14:paraId="7A03D228" w14:textId="77777777" w:rsidTr="0000189C">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0A40C141"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11</w:t>
            </w:r>
          </w:p>
        </w:tc>
        <w:tc>
          <w:tcPr>
            <w:tcW w:w="3076" w:type="dxa"/>
            <w:tcBorders>
              <w:top w:val="nil"/>
              <w:left w:val="nil"/>
              <w:bottom w:val="single" w:sz="8" w:space="0" w:color="3379BD"/>
              <w:right w:val="single" w:sz="8" w:space="0" w:color="3379BD"/>
            </w:tcBorders>
            <w:shd w:val="clear" w:color="000000" w:fill="DFE3E5"/>
            <w:vAlign w:val="center"/>
            <w:hideMark/>
          </w:tcPr>
          <w:p w14:paraId="7142A16B"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Open Water</w:t>
            </w:r>
          </w:p>
        </w:tc>
        <w:tc>
          <w:tcPr>
            <w:tcW w:w="1289" w:type="dxa"/>
            <w:tcBorders>
              <w:top w:val="nil"/>
              <w:left w:val="nil"/>
              <w:bottom w:val="single" w:sz="8" w:space="0" w:color="3379BD"/>
              <w:right w:val="single" w:sz="8" w:space="0" w:color="3379BD"/>
            </w:tcBorders>
            <w:shd w:val="clear" w:color="000000" w:fill="DFE3E5"/>
            <w:vAlign w:val="center"/>
            <w:hideMark/>
          </w:tcPr>
          <w:p w14:paraId="243778AA"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99</w:t>
            </w:r>
          </w:p>
        </w:tc>
        <w:tc>
          <w:tcPr>
            <w:tcW w:w="1289" w:type="dxa"/>
            <w:tcBorders>
              <w:top w:val="nil"/>
              <w:left w:val="nil"/>
              <w:bottom w:val="single" w:sz="8" w:space="0" w:color="3379BD"/>
              <w:right w:val="single" w:sz="8" w:space="0" w:color="3379BD"/>
            </w:tcBorders>
            <w:shd w:val="clear" w:color="000000" w:fill="DFE3E5"/>
            <w:vAlign w:val="center"/>
            <w:hideMark/>
          </w:tcPr>
          <w:p w14:paraId="7F1CCFB8"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99</w:t>
            </w:r>
          </w:p>
        </w:tc>
        <w:tc>
          <w:tcPr>
            <w:tcW w:w="1289" w:type="dxa"/>
            <w:tcBorders>
              <w:top w:val="nil"/>
              <w:left w:val="nil"/>
              <w:bottom w:val="single" w:sz="8" w:space="0" w:color="3379BD"/>
              <w:right w:val="single" w:sz="8" w:space="0" w:color="3379BD"/>
            </w:tcBorders>
            <w:shd w:val="clear" w:color="000000" w:fill="DFE3E5"/>
            <w:vAlign w:val="center"/>
            <w:hideMark/>
          </w:tcPr>
          <w:p w14:paraId="0F59CE5E"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99</w:t>
            </w:r>
          </w:p>
        </w:tc>
        <w:tc>
          <w:tcPr>
            <w:tcW w:w="1289" w:type="dxa"/>
            <w:tcBorders>
              <w:top w:val="nil"/>
              <w:left w:val="nil"/>
              <w:bottom w:val="single" w:sz="8" w:space="0" w:color="3379BD"/>
              <w:right w:val="single" w:sz="8" w:space="0" w:color="3379BD"/>
            </w:tcBorders>
            <w:shd w:val="clear" w:color="000000" w:fill="DFE3E5"/>
            <w:vAlign w:val="center"/>
            <w:hideMark/>
          </w:tcPr>
          <w:p w14:paraId="034E9DAE"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99</w:t>
            </w:r>
          </w:p>
        </w:tc>
      </w:tr>
      <w:tr w:rsidR="006B0ED0" w:rsidRPr="006B0ED0" w14:paraId="179FE4F4" w14:textId="77777777" w:rsidTr="0000189C">
        <w:trPr>
          <w:trHeight w:val="315"/>
          <w:jc w:val="center"/>
        </w:trPr>
        <w:tc>
          <w:tcPr>
            <w:tcW w:w="1308" w:type="dxa"/>
            <w:tcBorders>
              <w:top w:val="nil"/>
              <w:left w:val="single" w:sz="8" w:space="0" w:color="3379BD"/>
              <w:bottom w:val="single" w:sz="8" w:space="0" w:color="3379BD"/>
              <w:right w:val="single" w:sz="8" w:space="0" w:color="3379BD"/>
            </w:tcBorders>
            <w:vAlign w:val="center"/>
            <w:hideMark/>
          </w:tcPr>
          <w:p w14:paraId="7FA24057"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21</w:t>
            </w:r>
          </w:p>
        </w:tc>
        <w:tc>
          <w:tcPr>
            <w:tcW w:w="3076" w:type="dxa"/>
            <w:tcBorders>
              <w:top w:val="nil"/>
              <w:left w:val="nil"/>
              <w:bottom w:val="single" w:sz="8" w:space="0" w:color="3379BD"/>
              <w:right w:val="single" w:sz="8" w:space="0" w:color="3379BD"/>
            </w:tcBorders>
            <w:vAlign w:val="center"/>
            <w:hideMark/>
          </w:tcPr>
          <w:p w14:paraId="0E8B4B76"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Developed Open Space</w:t>
            </w:r>
          </w:p>
        </w:tc>
        <w:tc>
          <w:tcPr>
            <w:tcW w:w="1289" w:type="dxa"/>
            <w:tcBorders>
              <w:top w:val="nil"/>
              <w:left w:val="nil"/>
              <w:bottom w:val="single" w:sz="8" w:space="0" w:color="3379BD"/>
              <w:right w:val="single" w:sz="8" w:space="0" w:color="3379BD"/>
            </w:tcBorders>
            <w:vAlign w:val="center"/>
            <w:hideMark/>
          </w:tcPr>
          <w:p w14:paraId="10DA991B"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49</w:t>
            </w:r>
          </w:p>
        </w:tc>
        <w:tc>
          <w:tcPr>
            <w:tcW w:w="1289" w:type="dxa"/>
            <w:tcBorders>
              <w:top w:val="nil"/>
              <w:left w:val="nil"/>
              <w:bottom w:val="single" w:sz="8" w:space="0" w:color="3379BD"/>
              <w:right w:val="single" w:sz="8" w:space="0" w:color="3379BD"/>
            </w:tcBorders>
            <w:vAlign w:val="center"/>
            <w:hideMark/>
          </w:tcPr>
          <w:p w14:paraId="2D304CDE"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69</w:t>
            </w:r>
          </w:p>
        </w:tc>
        <w:tc>
          <w:tcPr>
            <w:tcW w:w="1289" w:type="dxa"/>
            <w:tcBorders>
              <w:top w:val="nil"/>
              <w:left w:val="nil"/>
              <w:bottom w:val="single" w:sz="8" w:space="0" w:color="3379BD"/>
              <w:right w:val="single" w:sz="8" w:space="0" w:color="3379BD"/>
            </w:tcBorders>
            <w:vAlign w:val="center"/>
            <w:hideMark/>
          </w:tcPr>
          <w:p w14:paraId="3101B2FF"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79</w:t>
            </w:r>
          </w:p>
        </w:tc>
        <w:tc>
          <w:tcPr>
            <w:tcW w:w="1289" w:type="dxa"/>
            <w:tcBorders>
              <w:top w:val="nil"/>
              <w:left w:val="nil"/>
              <w:bottom w:val="single" w:sz="8" w:space="0" w:color="3379BD"/>
              <w:right w:val="single" w:sz="8" w:space="0" w:color="3379BD"/>
            </w:tcBorders>
            <w:vAlign w:val="center"/>
            <w:hideMark/>
          </w:tcPr>
          <w:p w14:paraId="293CAC04"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84</w:t>
            </w:r>
          </w:p>
        </w:tc>
      </w:tr>
      <w:tr w:rsidR="006B0ED0" w:rsidRPr="006B0ED0" w14:paraId="5D94938A" w14:textId="77777777" w:rsidTr="0000189C">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6C1F33C3"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22</w:t>
            </w:r>
          </w:p>
        </w:tc>
        <w:tc>
          <w:tcPr>
            <w:tcW w:w="3076" w:type="dxa"/>
            <w:tcBorders>
              <w:top w:val="nil"/>
              <w:left w:val="nil"/>
              <w:bottom w:val="single" w:sz="8" w:space="0" w:color="3379BD"/>
              <w:right w:val="single" w:sz="8" w:space="0" w:color="3379BD"/>
            </w:tcBorders>
            <w:shd w:val="clear" w:color="000000" w:fill="DFE3E5"/>
            <w:vAlign w:val="center"/>
            <w:hideMark/>
          </w:tcPr>
          <w:p w14:paraId="0411B8DA"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Developed Low Intensity</w:t>
            </w:r>
          </w:p>
        </w:tc>
        <w:tc>
          <w:tcPr>
            <w:tcW w:w="1289" w:type="dxa"/>
            <w:tcBorders>
              <w:top w:val="nil"/>
              <w:left w:val="nil"/>
              <w:bottom w:val="single" w:sz="8" w:space="0" w:color="3379BD"/>
              <w:right w:val="single" w:sz="8" w:space="0" w:color="3379BD"/>
            </w:tcBorders>
            <w:shd w:val="clear" w:color="000000" w:fill="DFE3E5"/>
            <w:vAlign w:val="center"/>
            <w:hideMark/>
          </w:tcPr>
          <w:p w14:paraId="36ED4429"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61</w:t>
            </w:r>
          </w:p>
        </w:tc>
        <w:tc>
          <w:tcPr>
            <w:tcW w:w="1289" w:type="dxa"/>
            <w:tcBorders>
              <w:top w:val="nil"/>
              <w:left w:val="nil"/>
              <w:bottom w:val="single" w:sz="8" w:space="0" w:color="3379BD"/>
              <w:right w:val="single" w:sz="8" w:space="0" w:color="3379BD"/>
            </w:tcBorders>
            <w:shd w:val="clear" w:color="000000" w:fill="DFE3E5"/>
            <w:vAlign w:val="center"/>
            <w:hideMark/>
          </w:tcPr>
          <w:p w14:paraId="475C9EE1"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75</w:t>
            </w:r>
          </w:p>
        </w:tc>
        <w:tc>
          <w:tcPr>
            <w:tcW w:w="1289" w:type="dxa"/>
            <w:tcBorders>
              <w:top w:val="nil"/>
              <w:left w:val="nil"/>
              <w:bottom w:val="single" w:sz="8" w:space="0" w:color="3379BD"/>
              <w:right w:val="single" w:sz="8" w:space="0" w:color="3379BD"/>
            </w:tcBorders>
            <w:shd w:val="clear" w:color="000000" w:fill="DFE3E5"/>
            <w:vAlign w:val="center"/>
            <w:hideMark/>
          </w:tcPr>
          <w:p w14:paraId="4747EA3D"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83</w:t>
            </w:r>
          </w:p>
        </w:tc>
        <w:tc>
          <w:tcPr>
            <w:tcW w:w="1289" w:type="dxa"/>
            <w:tcBorders>
              <w:top w:val="nil"/>
              <w:left w:val="nil"/>
              <w:bottom w:val="single" w:sz="8" w:space="0" w:color="3379BD"/>
              <w:right w:val="single" w:sz="8" w:space="0" w:color="3379BD"/>
            </w:tcBorders>
            <w:shd w:val="clear" w:color="000000" w:fill="DFE3E5"/>
            <w:vAlign w:val="center"/>
            <w:hideMark/>
          </w:tcPr>
          <w:p w14:paraId="2CF21175"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87</w:t>
            </w:r>
          </w:p>
        </w:tc>
      </w:tr>
      <w:tr w:rsidR="006B0ED0" w:rsidRPr="006B0ED0" w14:paraId="0EC9EB52" w14:textId="77777777" w:rsidTr="0000189C">
        <w:trPr>
          <w:trHeight w:val="315"/>
          <w:jc w:val="center"/>
        </w:trPr>
        <w:tc>
          <w:tcPr>
            <w:tcW w:w="1308" w:type="dxa"/>
            <w:tcBorders>
              <w:top w:val="nil"/>
              <w:left w:val="single" w:sz="8" w:space="0" w:color="3379BD"/>
              <w:bottom w:val="single" w:sz="8" w:space="0" w:color="3379BD"/>
              <w:right w:val="single" w:sz="8" w:space="0" w:color="3379BD"/>
            </w:tcBorders>
            <w:vAlign w:val="center"/>
            <w:hideMark/>
          </w:tcPr>
          <w:p w14:paraId="27ECED66"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23</w:t>
            </w:r>
          </w:p>
        </w:tc>
        <w:tc>
          <w:tcPr>
            <w:tcW w:w="3076" w:type="dxa"/>
            <w:tcBorders>
              <w:top w:val="nil"/>
              <w:left w:val="nil"/>
              <w:bottom w:val="single" w:sz="8" w:space="0" w:color="3379BD"/>
              <w:right w:val="single" w:sz="8" w:space="0" w:color="3379BD"/>
            </w:tcBorders>
            <w:vAlign w:val="center"/>
            <w:hideMark/>
          </w:tcPr>
          <w:p w14:paraId="475C3AD8"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Developed Medium Intensity</w:t>
            </w:r>
          </w:p>
        </w:tc>
        <w:tc>
          <w:tcPr>
            <w:tcW w:w="1289" w:type="dxa"/>
            <w:tcBorders>
              <w:top w:val="nil"/>
              <w:left w:val="nil"/>
              <w:bottom w:val="single" w:sz="8" w:space="0" w:color="3379BD"/>
              <w:right w:val="single" w:sz="8" w:space="0" w:color="3379BD"/>
            </w:tcBorders>
            <w:vAlign w:val="center"/>
            <w:hideMark/>
          </w:tcPr>
          <w:p w14:paraId="384A53AD"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81</w:t>
            </w:r>
          </w:p>
        </w:tc>
        <w:tc>
          <w:tcPr>
            <w:tcW w:w="1289" w:type="dxa"/>
            <w:tcBorders>
              <w:top w:val="nil"/>
              <w:left w:val="nil"/>
              <w:bottom w:val="single" w:sz="8" w:space="0" w:color="3379BD"/>
              <w:right w:val="single" w:sz="8" w:space="0" w:color="3379BD"/>
            </w:tcBorders>
            <w:vAlign w:val="center"/>
            <w:hideMark/>
          </w:tcPr>
          <w:p w14:paraId="1678DA35"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88</w:t>
            </w:r>
          </w:p>
        </w:tc>
        <w:tc>
          <w:tcPr>
            <w:tcW w:w="1289" w:type="dxa"/>
            <w:tcBorders>
              <w:top w:val="nil"/>
              <w:left w:val="nil"/>
              <w:bottom w:val="single" w:sz="8" w:space="0" w:color="3379BD"/>
              <w:right w:val="single" w:sz="8" w:space="0" w:color="3379BD"/>
            </w:tcBorders>
            <w:vAlign w:val="center"/>
            <w:hideMark/>
          </w:tcPr>
          <w:p w14:paraId="3557EC3C"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91</w:t>
            </w:r>
          </w:p>
        </w:tc>
        <w:tc>
          <w:tcPr>
            <w:tcW w:w="1289" w:type="dxa"/>
            <w:tcBorders>
              <w:top w:val="nil"/>
              <w:left w:val="nil"/>
              <w:bottom w:val="single" w:sz="8" w:space="0" w:color="3379BD"/>
              <w:right w:val="single" w:sz="8" w:space="0" w:color="3379BD"/>
            </w:tcBorders>
            <w:vAlign w:val="center"/>
            <w:hideMark/>
          </w:tcPr>
          <w:p w14:paraId="090E907E"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93</w:t>
            </w:r>
          </w:p>
        </w:tc>
      </w:tr>
      <w:tr w:rsidR="006B0ED0" w:rsidRPr="006B0ED0" w14:paraId="7E34726C" w14:textId="77777777" w:rsidTr="0000189C">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73556F72"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24</w:t>
            </w:r>
          </w:p>
        </w:tc>
        <w:tc>
          <w:tcPr>
            <w:tcW w:w="3076" w:type="dxa"/>
            <w:tcBorders>
              <w:top w:val="nil"/>
              <w:left w:val="nil"/>
              <w:bottom w:val="single" w:sz="8" w:space="0" w:color="3379BD"/>
              <w:right w:val="single" w:sz="8" w:space="0" w:color="3379BD"/>
            </w:tcBorders>
            <w:shd w:val="clear" w:color="000000" w:fill="DFE3E5"/>
            <w:vAlign w:val="center"/>
            <w:hideMark/>
          </w:tcPr>
          <w:p w14:paraId="2FA14D45"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Developed High Intensity</w:t>
            </w:r>
          </w:p>
        </w:tc>
        <w:tc>
          <w:tcPr>
            <w:tcW w:w="1289" w:type="dxa"/>
            <w:tcBorders>
              <w:top w:val="nil"/>
              <w:left w:val="nil"/>
              <w:bottom w:val="single" w:sz="8" w:space="0" w:color="3379BD"/>
              <w:right w:val="single" w:sz="8" w:space="0" w:color="3379BD"/>
            </w:tcBorders>
            <w:shd w:val="clear" w:color="000000" w:fill="DFE3E5"/>
            <w:vAlign w:val="center"/>
            <w:hideMark/>
          </w:tcPr>
          <w:p w14:paraId="5A1E1646"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89</w:t>
            </w:r>
          </w:p>
        </w:tc>
        <w:tc>
          <w:tcPr>
            <w:tcW w:w="1289" w:type="dxa"/>
            <w:tcBorders>
              <w:top w:val="nil"/>
              <w:left w:val="nil"/>
              <w:bottom w:val="single" w:sz="8" w:space="0" w:color="3379BD"/>
              <w:right w:val="single" w:sz="8" w:space="0" w:color="3379BD"/>
            </w:tcBorders>
            <w:shd w:val="clear" w:color="000000" w:fill="DFE3E5"/>
            <w:vAlign w:val="center"/>
            <w:hideMark/>
          </w:tcPr>
          <w:p w14:paraId="4F495CD6"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92</w:t>
            </w:r>
          </w:p>
        </w:tc>
        <w:tc>
          <w:tcPr>
            <w:tcW w:w="1289" w:type="dxa"/>
            <w:tcBorders>
              <w:top w:val="nil"/>
              <w:left w:val="nil"/>
              <w:bottom w:val="single" w:sz="8" w:space="0" w:color="3379BD"/>
              <w:right w:val="single" w:sz="8" w:space="0" w:color="3379BD"/>
            </w:tcBorders>
            <w:shd w:val="clear" w:color="000000" w:fill="DFE3E5"/>
            <w:vAlign w:val="center"/>
            <w:hideMark/>
          </w:tcPr>
          <w:p w14:paraId="4C7B5CAD"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94</w:t>
            </w:r>
          </w:p>
        </w:tc>
        <w:tc>
          <w:tcPr>
            <w:tcW w:w="1289" w:type="dxa"/>
            <w:tcBorders>
              <w:top w:val="nil"/>
              <w:left w:val="nil"/>
              <w:bottom w:val="single" w:sz="8" w:space="0" w:color="3379BD"/>
              <w:right w:val="single" w:sz="8" w:space="0" w:color="3379BD"/>
            </w:tcBorders>
            <w:shd w:val="clear" w:color="000000" w:fill="DFE3E5"/>
            <w:vAlign w:val="center"/>
            <w:hideMark/>
          </w:tcPr>
          <w:p w14:paraId="339F3802"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95</w:t>
            </w:r>
          </w:p>
        </w:tc>
      </w:tr>
      <w:tr w:rsidR="006B0ED0" w:rsidRPr="006B0ED0" w14:paraId="68E1E0C1" w14:textId="77777777" w:rsidTr="0000189C">
        <w:trPr>
          <w:trHeight w:val="315"/>
          <w:jc w:val="center"/>
        </w:trPr>
        <w:tc>
          <w:tcPr>
            <w:tcW w:w="1308" w:type="dxa"/>
            <w:tcBorders>
              <w:top w:val="nil"/>
              <w:left w:val="single" w:sz="8" w:space="0" w:color="3379BD"/>
              <w:bottom w:val="single" w:sz="8" w:space="0" w:color="3379BD"/>
              <w:right w:val="single" w:sz="8" w:space="0" w:color="3379BD"/>
            </w:tcBorders>
            <w:vAlign w:val="center"/>
            <w:hideMark/>
          </w:tcPr>
          <w:p w14:paraId="3D16A74D"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31</w:t>
            </w:r>
          </w:p>
        </w:tc>
        <w:tc>
          <w:tcPr>
            <w:tcW w:w="3076" w:type="dxa"/>
            <w:tcBorders>
              <w:top w:val="nil"/>
              <w:left w:val="nil"/>
              <w:bottom w:val="single" w:sz="8" w:space="0" w:color="3379BD"/>
              <w:right w:val="single" w:sz="8" w:space="0" w:color="3379BD"/>
            </w:tcBorders>
            <w:vAlign w:val="center"/>
            <w:hideMark/>
          </w:tcPr>
          <w:p w14:paraId="291CF770"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Barren Land</w:t>
            </w:r>
          </w:p>
        </w:tc>
        <w:tc>
          <w:tcPr>
            <w:tcW w:w="1289" w:type="dxa"/>
            <w:tcBorders>
              <w:top w:val="nil"/>
              <w:left w:val="nil"/>
              <w:bottom w:val="single" w:sz="8" w:space="0" w:color="3379BD"/>
              <w:right w:val="single" w:sz="8" w:space="0" w:color="3379BD"/>
            </w:tcBorders>
            <w:vAlign w:val="center"/>
            <w:hideMark/>
          </w:tcPr>
          <w:p w14:paraId="574D3B95"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39</w:t>
            </w:r>
          </w:p>
        </w:tc>
        <w:tc>
          <w:tcPr>
            <w:tcW w:w="1289" w:type="dxa"/>
            <w:tcBorders>
              <w:top w:val="nil"/>
              <w:left w:val="nil"/>
              <w:bottom w:val="single" w:sz="8" w:space="0" w:color="3379BD"/>
              <w:right w:val="single" w:sz="8" w:space="0" w:color="3379BD"/>
            </w:tcBorders>
            <w:vAlign w:val="center"/>
            <w:hideMark/>
          </w:tcPr>
          <w:p w14:paraId="48F3B04D"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61</w:t>
            </w:r>
          </w:p>
        </w:tc>
        <w:tc>
          <w:tcPr>
            <w:tcW w:w="1289" w:type="dxa"/>
            <w:tcBorders>
              <w:top w:val="nil"/>
              <w:left w:val="nil"/>
              <w:bottom w:val="single" w:sz="8" w:space="0" w:color="3379BD"/>
              <w:right w:val="single" w:sz="8" w:space="0" w:color="3379BD"/>
            </w:tcBorders>
            <w:vAlign w:val="center"/>
            <w:hideMark/>
          </w:tcPr>
          <w:p w14:paraId="47BF4666"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74</w:t>
            </w:r>
          </w:p>
        </w:tc>
        <w:tc>
          <w:tcPr>
            <w:tcW w:w="1289" w:type="dxa"/>
            <w:tcBorders>
              <w:top w:val="nil"/>
              <w:left w:val="nil"/>
              <w:bottom w:val="single" w:sz="8" w:space="0" w:color="3379BD"/>
              <w:right w:val="single" w:sz="8" w:space="0" w:color="3379BD"/>
            </w:tcBorders>
            <w:vAlign w:val="center"/>
            <w:hideMark/>
          </w:tcPr>
          <w:p w14:paraId="0FFC9B63"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80</w:t>
            </w:r>
          </w:p>
        </w:tc>
      </w:tr>
      <w:tr w:rsidR="006B0ED0" w:rsidRPr="006B0ED0" w14:paraId="7520823B" w14:textId="77777777" w:rsidTr="0000189C">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3C784A5E"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41</w:t>
            </w:r>
          </w:p>
        </w:tc>
        <w:tc>
          <w:tcPr>
            <w:tcW w:w="3076" w:type="dxa"/>
            <w:tcBorders>
              <w:top w:val="nil"/>
              <w:left w:val="nil"/>
              <w:bottom w:val="single" w:sz="8" w:space="0" w:color="3379BD"/>
              <w:right w:val="single" w:sz="8" w:space="0" w:color="3379BD"/>
            </w:tcBorders>
            <w:shd w:val="clear" w:color="000000" w:fill="DFE3E5"/>
            <w:vAlign w:val="center"/>
            <w:hideMark/>
          </w:tcPr>
          <w:p w14:paraId="6DC9D475"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Deciduous Forest</w:t>
            </w:r>
          </w:p>
        </w:tc>
        <w:tc>
          <w:tcPr>
            <w:tcW w:w="1289" w:type="dxa"/>
            <w:tcBorders>
              <w:top w:val="nil"/>
              <w:left w:val="nil"/>
              <w:bottom w:val="single" w:sz="8" w:space="0" w:color="3379BD"/>
              <w:right w:val="single" w:sz="8" w:space="0" w:color="3379BD"/>
            </w:tcBorders>
            <w:shd w:val="clear" w:color="000000" w:fill="DFE3E5"/>
            <w:vAlign w:val="center"/>
            <w:hideMark/>
          </w:tcPr>
          <w:p w14:paraId="72E88450"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30</w:t>
            </w:r>
          </w:p>
        </w:tc>
        <w:tc>
          <w:tcPr>
            <w:tcW w:w="1289" w:type="dxa"/>
            <w:tcBorders>
              <w:top w:val="nil"/>
              <w:left w:val="nil"/>
              <w:bottom w:val="single" w:sz="8" w:space="0" w:color="3379BD"/>
              <w:right w:val="single" w:sz="8" w:space="0" w:color="3379BD"/>
            </w:tcBorders>
            <w:shd w:val="clear" w:color="000000" w:fill="DFE3E5"/>
            <w:vAlign w:val="center"/>
            <w:hideMark/>
          </w:tcPr>
          <w:p w14:paraId="5D28DBFC"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55</w:t>
            </w:r>
          </w:p>
        </w:tc>
        <w:tc>
          <w:tcPr>
            <w:tcW w:w="1289" w:type="dxa"/>
            <w:tcBorders>
              <w:top w:val="nil"/>
              <w:left w:val="nil"/>
              <w:bottom w:val="single" w:sz="8" w:space="0" w:color="3379BD"/>
              <w:right w:val="single" w:sz="8" w:space="0" w:color="3379BD"/>
            </w:tcBorders>
            <w:shd w:val="clear" w:color="000000" w:fill="DFE3E5"/>
            <w:vAlign w:val="center"/>
            <w:hideMark/>
          </w:tcPr>
          <w:p w14:paraId="038C342F"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70</w:t>
            </w:r>
          </w:p>
        </w:tc>
        <w:tc>
          <w:tcPr>
            <w:tcW w:w="1289" w:type="dxa"/>
            <w:tcBorders>
              <w:top w:val="nil"/>
              <w:left w:val="nil"/>
              <w:bottom w:val="single" w:sz="8" w:space="0" w:color="3379BD"/>
              <w:right w:val="single" w:sz="8" w:space="0" w:color="3379BD"/>
            </w:tcBorders>
            <w:shd w:val="clear" w:color="000000" w:fill="DFE3E5"/>
            <w:vAlign w:val="center"/>
            <w:hideMark/>
          </w:tcPr>
          <w:p w14:paraId="34BA9630"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77</w:t>
            </w:r>
          </w:p>
        </w:tc>
      </w:tr>
      <w:tr w:rsidR="006B0ED0" w:rsidRPr="006B0ED0" w14:paraId="7957B1D3" w14:textId="77777777" w:rsidTr="0000189C">
        <w:trPr>
          <w:trHeight w:val="315"/>
          <w:jc w:val="center"/>
        </w:trPr>
        <w:tc>
          <w:tcPr>
            <w:tcW w:w="1308" w:type="dxa"/>
            <w:tcBorders>
              <w:top w:val="nil"/>
              <w:left w:val="single" w:sz="8" w:space="0" w:color="3379BD"/>
              <w:bottom w:val="single" w:sz="8" w:space="0" w:color="3379BD"/>
              <w:right w:val="single" w:sz="8" w:space="0" w:color="3379BD"/>
            </w:tcBorders>
            <w:vAlign w:val="center"/>
            <w:hideMark/>
          </w:tcPr>
          <w:p w14:paraId="7B31069E"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42</w:t>
            </w:r>
          </w:p>
        </w:tc>
        <w:tc>
          <w:tcPr>
            <w:tcW w:w="3076" w:type="dxa"/>
            <w:tcBorders>
              <w:top w:val="nil"/>
              <w:left w:val="nil"/>
              <w:bottom w:val="single" w:sz="8" w:space="0" w:color="3379BD"/>
              <w:right w:val="single" w:sz="8" w:space="0" w:color="3379BD"/>
            </w:tcBorders>
            <w:vAlign w:val="center"/>
            <w:hideMark/>
          </w:tcPr>
          <w:p w14:paraId="22D7DEE6"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Evergreen Forest</w:t>
            </w:r>
          </w:p>
        </w:tc>
        <w:tc>
          <w:tcPr>
            <w:tcW w:w="1289" w:type="dxa"/>
            <w:tcBorders>
              <w:top w:val="nil"/>
              <w:left w:val="nil"/>
              <w:bottom w:val="single" w:sz="8" w:space="0" w:color="3379BD"/>
              <w:right w:val="single" w:sz="8" w:space="0" w:color="3379BD"/>
            </w:tcBorders>
            <w:vAlign w:val="center"/>
            <w:hideMark/>
          </w:tcPr>
          <w:p w14:paraId="4E8EEF00"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30</w:t>
            </w:r>
          </w:p>
        </w:tc>
        <w:tc>
          <w:tcPr>
            <w:tcW w:w="1289" w:type="dxa"/>
            <w:tcBorders>
              <w:top w:val="nil"/>
              <w:left w:val="nil"/>
              <w:bottom w:val="single" w:sz="8" w:space="0" w:color="3379BD"/>
              <w:right w:val="single" w:sz="8" w:space="0" w:color="3379BD"/>
            </w:tcBorders>
            <w:vAlign w:val="center"/>
            <w:hideMark/>
          </w:tcPr>
          <w:p w14:paraId="5C73BDD9"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55</w:t>
            </w:r>
          </w:p>
        </w:tc>
        <w:tc>
          <w:tcPr>
            <w:tcW w:w="1289" w:type="dxa"/>
            <w:tcBorders>
              <w:top w:val="nil"/>
              <w:left w:val="nil"/>
              <w:bottom w:val="single" w:sz="8" w:space="0" w:color="3379BD"/>
              <w:right w:val="single" w:sz="8" w:space="0" w:color="3379BD"/>
            </w:tcBorders>
            <w:vAlign w:val="center"/>
            <w:hideMark/>
          </w:tcPr>
          <w:p w14:paraId="5F47086B"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70</w:t>
            </w:r>
          </w:p>
        </w:tc>
        <w:tc>
          <w:tcPr>
            <w:tcW w:w="1289" w:type="dxa"/>
            <w:tcBorders>
              <w:top w:val="nil"/>
              <w:left w:val="nil"/>
              <w:bottom w:val="single" w:sz="8" w:space="0" w:color="3379BD"/>
              <w:right w:val="single" w:sz="8" w:space="0" w:color="3379BD"/>
            </w:tcBorders>
            <w:vAlign w:val="center"/>
            <w:hideMark/>
          </w:tcPr>
          <w:p w14:paraId="431AE1DD"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77</w:t>
            </w:r>
          </w:p>
        </w:tc>
      </w:tr>
      <w:tr w:rsidR="006B0ED0" w:rsidRPr="006B0ED0" w14:paraId="169B9A4F" w14:textId="77777777" w:rsidTr="0000189C">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344DE3FD"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43</w:t>
            </w:r>
          </w:p>
        </w:tc>
        <w:tc>
          <w:tcPr>
            <w:tcW w:w="3076" w:type="dxa"/>
            <w:tcBorders>
              <w:top w:val="nil"/>
              <w:left w:val="nil"/>
              <w:bottom w:val="single" w:sz="8" w:space="0" w:color="3379BD"/>
              <w:right w:val="single" w:sz="8" w:space="0" w:color="3379BD"/>
            </w:tcBorders>
            <w:shd w:val="clear" w:color="000000" w:fill="DFE3E5"/>
            <w:vAlign w:val="center"/>
            <w:hideMark/>
          </w:tcPr>
          <w:p w14:paraId="2B302FD0"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Mixed Forest</w:t>
            </w:r>
          </w:p>
        </w:tc>
        <w:tc>
          <w:tcPr>
            <w:tcW w:w="1289" w:type="dxa"/>
            <w:tcBorders>
              <w:top w:val="nil"/>
              <w:left w:val="nil"/>
              <w:bottom w:val="single" w:sz="8" w:space="0" w:color="3379BD"/>
              <w:right w:val="single" w:sz="8" w:space="0" w:color="3379BD"/>
            </w:tcBorders>
            <w:shd w:val="clear" w:color="000000" w:fill="DFE3E5"/>
            <w:vAlign w:val="center"/>
            <w:hideMark/>
          </w:tcPr>
          <w:p w14:paraId="72A6FC4D"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30</w:t>
            </w:r>
          </w:p>
        </w:tc>
        <w:tc>
          <w:tcPr>
            <w:tcW w:w="1289" w:type="dxa"/>
            <w:tcBorders>
              <w:top w:val="nil"/>
              <w:left w:val="nil"/>
              <w:bottom w:val="single" w:sz="8" w:space="0" w:color="3379BD"/>
              <w:right w:val="single" w:sz="8" w:space="0" w:color="3379BD"/>
            </w:tcBorders>
            <w:shd w:val="clear" w:color="000000" w:fill="DFE3E5"/>
            <w:vAlign w:val="center"/>
            <w:hideMark/>
          </w:tcPr>
          <w:p w14:paraId="0B2A0997"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55</w:t>
            </w:r>
          </w:p>
        </w:tc>
        <w:tc>
          <w:tcPr>
            <w:tcW w:w="1289" w:type="dxa"/>
            <w:tcBorders>
              <w:top w:val="nil"/>
              <w:left w:val="nil"/>
              <w:bottom w:val="single" w:sz="8" w:space="0" w:color="3379BD"/>
              <w:right w:val="single" w:sz="8" w:space="0" w:color="3379BD"/>
            </w:tcBorders>
            <w:shd w:val="clear" w:color="000000" w:fill="DFE3E5"/>
            <w:vAlign w:val="center"/>
            <w:hideMark/>
          </w:tcPr>
          <w:p w14:paraId="66BEA3D2"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70</w:t>
            </w:r>
          </w:p>
        </w:tc>
        <w:tc>
          <w:tcPr>
            <w:tcW w:w="1289" w:type="dxa"/>
            <w:tcBorders>
              <w:top w:val="nil"/>
              <w:left w:val="nil"/>
              <w:bottom w:val="single" w:sz="8" w:space="0" w:color="3379BD"/>
              <w:right w:val="single" w:sz="8" w:space="0" w:color="3379BD"/>
            </w:tcBorders>
            <w:shd w:val="clear" w:color="000000" w:fill="DFE3E5"/>
            <w:vAlign w:val="center"/>
            <w:hideMark/>
          </w:tcPr>
          <w:p w14:paraId="3A9F9172"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77</w:t>
            </w:r>
          </w:p>
        </w:tc>
      </w:tr>
    </w:tbl>
    <w:p w14:paraId="7EBC1C6A" w14:textId="77777777" w:rsidR="00C4776C" w:rsidRDefault="00C4776C" w:rsidP="00E40918">
      <w:pPr>
        <w:pStyle w:val="BodyText"/>
      </w:pPr>
    </w:p>
    <w:p w14:paraId="62749E51" w14:textId="04616A2D" w:rsidR="00E743C6" w:rsidRDefault="00E743C6" w:rsidP="00E743C6">
      <w:pPr>
        <w:pStyle w:val="Caption"/>
        <w:jc w:val="center"/>
      </w:pPr>
      <w:r>
        <w:lastRenderedPageBreak/>
        <w:t xml:space="preserve">Table 4 continued: </w:t>
      </w:r>
      <w:r w:rsidRPr="00B83059">
        <w:t>Land Use</w:t>
      </w:r>
      <w:r>
        <w:t>(LU)</w:t>
      </w:r>
      <w:r w:rsidRPr="00B83059">
        <w:t>-Soils-CN Matrix for Defining Initial Curve Number</w:t>
      </w:r>
    </w:p>
    <w:tbl>
      <w:tblPr>
        <w:tblW w:w="9540" w:type="dxa"/>
        <w:jc w:val="center"/>
        <w:tblLook w:val="04A0" w:firstRow="1" w:lastRow="0" w:firstColumn="1" w:lastColumn="0" w:noHBand="0" w:noVBand="1"/>
      </w:tblPr>
      <w:tblGrid>
        <w:gridCol w:w="1308"/>
        <w:gridCol w:w="3076"/>
        <w:gridCol w:w="1289"/>
        <w:gridCol w:w="1289"/>
        <w:gridCol w:w="1289"/>
        <w:gridCol w:w="1289"/>
      </w:tblGrid>
      <w:tr w:rsidR="00E743C6" w:rsidRPr="006B0ED0" w14:paraId="267FB247" w14:textId="77777777" w:rsidTr="00E743C6">
        <w:trPr>
          <w:trHeight w:val="525"/>
          <w:tblHeader/>
          <w:jc w:val="center"/>
        </w:trPr>
        <w:tc>
          <w:tcPr>
            <w:tcW w:w="1308" w:type="dxa"/>
            <w:vMerge w:val="restart"/>
            <w:tcBorders>
              <w:top w:val="single" w:sz="8" w:space="0" w:color="3379BD"/>
              <w:left w:val="single" w:sz="8" w:space="0" w:color="3379BD"/>
              <w:bottom w:val="single" w:sz="8" w:space="0" w:color="3379BD"/>
              <w:right w:val="nil"/>
            </w:tcBorders>
            <w:shd w:val="clear" w:color="000000" w:fill="00B5E2"/>
            <w:vAlign w:val="center"/>
            <w:hideMark/>
          </w:tcPr>
          <w:p w14:paraId="5B00DF95" w14:textId="77777777" w:rsidR="00E743C6" w:rsidRPr="006B0ED0" w:rsidRDefault="00E743C6" w:rsidP="00E743C6">
            <w:pPr>
              <w:jc w:val="center"/>
              <w:rPr>
                <w:rFonts w:ascii="Calibri" w:eastAsia="Times New Roman" w:hAnsi="Calibri" w:cs="Times New Roman"/>
                <w:b/>
                <w:bCs/>
                <w:color w:val="FFFFFF"/>
                <w:sz w:val="20"/>
                <w:szCs w:val="20"/>
              </w:rPr>
            </w:pPr>
            <w:r w:rsidRPr="006B0ED0">
              <w:rPr>
                <w:rFonts w:ascii="Calibri" w:eastAsia="Times New Roman" w:hAnsi="Calibri" w:cs="Arial"/>
                <w:b/>
                <w:bCs/>
                <w:color w:val="FFFFFF"/>
                <w:sz w:val="20"/>
                <w:szCs w:val="20"/>
              </w:rPr>
              <w:t>LU_GridCode</w:t>
            </w:r>
          </w:p>
        </w:tc>
        <w:tc>
          <w:tcPr>
            <w:tcW w:w="3076" w:type="dxa"/>
            <w:vMerge w:val="restart"/>
            <w:tcBorders>
              <w:top w:val="single" w:sz="8" w:space="0" w:color="3379BD"/>
              <w:left w:val="single" w:sz="8" w:space="0" w:color="3379BD"/>
              <w:bottom w:val="single" w:sz="8" w:space="0" w:color="3379BD"/>
              <w:right w:val="single" w:sz="8" w:space="0" w:color="3379BD"/>
            </w:tcBorders>
            <w:shd w:val="clear" w:color="000000" w:fill="00B5E2"/>
            <w:vAlign w:val="center"/>
            <w:hideMark/>
          </w:tcPr>
          <w:p w14:paraId="4B8E492B" w14:textId="77777777" w:rsidR="00E743C6" w:rsidRPr="006B0ED0" w:rsidRDefault="00E743C6" w:rsidP="00E743C6">
            <w:pPr>
              <w:jc w:val="center"/>
              <w:rPr>
                <w:rFonts w:ascii="Calibri" w:eastAsia="Times New Roman" w:hAnsi="Calibri" w:cs="Times New Roman"/>
                <w:b/>
                <w:bCs/>
                <w:color w:val="FFFFFF"/>
                <w:sz w:val="20"/>
                <w:szCs w:val="20"/>
              </w:rPr>
            </w:pPr>
            <w:r w:rsidRPr="006B0ED0">
              <w:rPr>
                <w:rFonts w:ascii="Calibri" w:eastAsia="Times New Roman" w:hAnsi="Calibri" w:cs="Arial"/>
                <w:b/>
                <w:bCs/>
                <w:color w:val="FFFFFF"/>
                <w:sz w:val="20"/>
                <w:szCs w:val="20"/>
              </w:rPr>
              <w:t>NLCD LU Description</w:t>
            </w:r>
          </w:p>
        </w:tc>
        <w:tc>
          <w:tcPr>
            <w:tcW w:w="5156" w:type="dxa"/>
            <w:gridSpan w:val="4"/>
            <w:tcBorders>
              <w:top w:val="single" w:sz="8" w:space="0" w:color="3379BD"/>
              <w:left w:val="nil"/>
              <w:bottom w:val="single" w:sz="8" w:space="0" w:color="3379BD"/>
              <w:right w:val="single" w:sz="8" w:space="0" w:color="3379BD"/>
            </w:tcBorders>
            <w:shd w:val="clear" w:color="000000" w:fill="00B5E2"/>
            <w:vAlign w:val="center"/>
            <w:hideMark/>
          </w:tcPr>
          <w:p w14:paraId="2C99E1FF" w14:textId="77777777" w:rsidR="00E743C6" w:rsidRPr="006B0ED0" w:rsidRDefault="00E743C6" w:rsidP="00E743C6">
            <w:pPr>
              <w:jc w:val="center"/>
              <w:rPr>
                <w:rFonts w:ascii="Calibri" w:eastAsia="Times New Roman" w:hAnsi="Calibri" w:cs="Times New Roman"/>
                <w:b/>
                <w:bCs/>
                <w:color w:val="FFFFFF"/>
                <w:sz w:val="20"/>
                <w:szCs w:val="20"/>
              </w:rPr>
            </w:pPr>
            <w:r w:rsidRPr="006B0ED0">
              <w:rPr>
                <w:rFonts w:ascii="Calibri" w:eastAsia="Times New Roman" w:hAnsi="Calibri" w:cs="Times New Roman"/>
                <w:b/>
                <w:bCs/>
                <w:color w:val="FFFFFF"/>
                <w:sz w:val="20"/>
                <w:szCs w:val="20"/>
              </w:rPr>
              <w:t>Hydrologic Soil Group</w:t>
            </w:r>
          </w:p>
        </w:tc>
      </w:tr>
      <w:tr w:rsidR="00E743C6" w:rsidRPr="006B0ED0" w14:paraId="4A9D5B33" w14:textId="77777777" w:rsidTr="00E743C6">
        <w:trPr>
          <w:trHeight w:val="315"/>
          <w:tblHeader/>
          <w:jc w:val="center"/>
        </w:trPr>
        <w:tc>
          <w:tcPr>
            <w:tcW w:w="1308" w:type="dxa"/>
            <w:vMerge/>
            <w:tcBorders>
              <w:top w:val="single" w:sz="8" w:space="0" w:color="3379BD"/>
              <w:left w:val="single" w:sz="8" w:space="0" w:color="3379BD"/>
              <w:bottom w:val="single" w:sz="8" w:space="0" w:color="3379BD"/>
              <w:right w:val="nil"/>
            </w:tcBorders>
            <w:vAlign w:val="center"/>
            <w:hideMark/>
          </w:tcPr>
          <w:p w14:paraId="0BE721F1" w14:textId="77777777" w:rsidR="00E743C6" w:rsidRPr="006B0ED0" w:rsidRDefault="00E743C6" w:rsidP="00E743C6">
            <w:pPr>
              <w:rPr>
                <w:rFonts w:ascii="Calibri" w:eastAsia="Times New Roman" w:hAnsi="Calibri" w:cs="Times New Roman"/>
                <w:b/>
                <w:bCs/>
                <w:color w:val="FFFFFF"/>
                <w:sz w:val="20"/>
                <w:szCs w:val="20"/>
              </w:rPr>
            </w:pPr>
          </w:p>
        </w:tc>
        <w:tc>
          <w:tcPr>
            <w:tcW w:w="3076" w:type="dxa"/>
            <w:vMerge/>
            <w:tcBorders>
              <w:top w:val="single" w:sz="8" w:space="0" w:color="3379BD"/>
              <w:left w:val="single" w:sz="8" w:space="0" w:color="3379BD"/>
              <w:bottom w:val="single" w:sz="8" w:space="0" w:color="3379BD"/>
              <w:right w:val="single" w:sz="8" w:space="0" w:color="3379BD"/>
            </w:tcBorders>
            <w:vAlign w:val="center"/>
            <w:hideMark/>
          </w:tcPr>
          <w:p w14:paraId="3D0DCD5A" w14:textId="77777777" w:rsidR="00E743C6" w:rsidRPr="006B0ED0" w:rsidRDefault="00E743C6" w:rsidP="00E743C6">
            <w:pPr>
              <w:rPr>
                <w:rFonts w:ascii="Calibri" w:eastAsia="Times New Roman" w:hAnsi="Calibri" w:cs="Times New Roman"/>
                <w:b/>
                <w:bCs/>
                <w:color w:val="FFFFFF"/>
                <w:sz w:val="20"/>
                <w:szCs w:val="20"/>
              </w:rPr>
            </w:pPr>
          </w:p>
        </w:tc>
        <w:tc>
          <w:tcPr>
            <w:tcW w:w="1289" w:type="dxa"/>
            <w:tcBorders>
              <w:top w:val="single" w:sz="8" w:space="0" w:color="3379BD"/>
              <w:left w:val="nil"/>
              <w:bottom w:val="single" w:sz="8" w:space="0" w:color="3379BD"/>
              <w:right w:val="single" w:sz="8" w:space="0" w:color="3379BD"/>
            </w:tcBorders>
            <w:shd w:val="clear" w:color="000000" w:fill="00B5E2"/>
            <w:vAlign w:val="center"/>
            <w:hideMark/>
          </w:tcPr>
          <w:p w14:paraId="558BD561" w14:textId="77777777" w:rsidR="00E743C6" w:rsidRPr="006B0ED0" w:rsidRDefault="00E743C6" w:rsidP="00E743C6">
            <w:pPr>
              <w:jc w:val="center"/>
              <w:rPr>
                <w:rFonts w:ascii="Calibri" w:eastAsia="Times New Roman" w:hAnsi="Calibri" w:cs="Times New Roman"/>
                <w:b/>
                <w:bCs/>
                <w:color w:val="FFFFFF"/>
                <w:sz w:val="20"/>
                <w:szCs w:val="20"/>
              </w:rPr>
            </w:pPr>
            <w:r w:rsidRPr="006B0ED0">
              <w:rPr>
                <w:rFonts w:ascii="Calibri" w:eastAsia="Times New Roman" w:hAnsi="Calibri" w:cs="Arial"/>
                <w:b/>
                <w:bCs/>
                <w:color w:val="FFFFFF"/>
                <w:sz w:val="20"/>
                <w:szCs w:val="20"/>
              </w:rPr>
              <w:t>A</w:t>
            </w:r>
          </w:p>
        </w:tc>
        <w:tc>
          <w:tcPr>
            <w:tcW w:w="1289" w:type="dxa"/>
            <w:tcBorders>
              <w:top w:val="single" w:sz="8" w:space="0" w:color="3379BD"/>
              <w:left w:val="nil"/>
              <w:bottom w:val="single" w:sz="8" w:space="0" w:color="3379BD"/>
              <w:right w:val="single" w:sz="8" w:space="0" w:color="3379BD"/>
            </w:tcBorders>
            <w:shd w:val="clear" w:color="000000" w:fill="00B5E2"/>
            <w:vAlign w:val="center"/>
            <w:hideMark/>
          </w:tcPr>
          <w:p w14:paraId="7085C25A" w14:textId="77777777" w:rsidR="00E743C6" w:rsidRPr="006B0ED0" w:rsidRDefault="00E743C6" w:rsidP="00E743C6">
            <w:pPr>
              <w:jc w:val="center"/>
              <w:rPr>
                <w:rFonts w:ascii="Calibri" w:eastAsia="Times New Roman" w:hAnsi="Calibri" w:cs="Times New Roman"/>
                <w:b/>
                <w:bCs/>
                <w:color w:val="FFFFFF"/>
                <w:sz w:val="20"/>
                <w:szCs w:val="20"/>
              </w:rPr>
            </w:pPr>
            <w:r w:rsidRPr="006B0ED0">
              <w:rPr>
                <w:rFonts w:ascii="Calibri" w:eastAsia="Times New Roman" w:hAnsi="Calibri" w:cs="Arial"/>
                <w:b/>
                <w:bCs/>
                <w:color w:val="FFFFFF"/>
                <w:sz w:val="20"/>
                <w:szCs w:val="20"/>
              </w:rPr>
              <w:t>B</w:t>
            </w:r>
          </w:p>
        </w:tc>
        <w:tc>
          <w:tcPr>
            <w:tcW w:w="1289" w:type="dxa"/>
            <w:tcBorders>
              <w:top w:val="single" w:sz="8" w:space="0" w:color="3379BD"/>
              <w:left w:val="nil"/>
              <w:bottom w:val="single" w:sz="8" w:space="0" w:color="3379BD"/>
              <w:right w:val="single" w:sz="8" w:space="0" w:color="3379BD"/>
            </w:tcBorders>
            <w:shd w:val="clear" w:color="000000" w:fill="00B5E2"/>
            <w:vAlign w:val="center"/>
            <w:hideMark/>
          </w:tcPr>
          <w:p w14:paraId="567DE7E9" w14:textId="77777777" w:rsidR="00E743C6" w:rsidRPr="006B0ED0" w:rsidRDefault="00E743C6" w:rsidP="00E743C6">
            <w:pPr>
              <w:jc w:val="center"/>
              <w:rPr>
                <w:rFonts w:ascii="Calibri" w:eastAsia="Times New Roman" w:hAnsi="Calibri" w:cs="Times New Roman"/>
                <w:b/>
                <w:bCs/>
                <w:color w:val="FFFFFF"/>
                <w:sz w:val="20"/>
                <w:szCs w:val="20"/>
              </w:rPr>
            </w:pPr>
            <w:r w:rsidRPr="006B0ED0">
              <w:rPr>
                <w:rFonts w:ascii="Calibri" w:eastAsia="Times New Roman" w:hAnsi="Calibri" w:cs="Arial"/>
                <w:b/>
                <w:bCs/>
                <w:color w:val="FFFFFF"/>
                <w:sz w:val="20"/>
                <w:szCs w:val="20"/>
              </w:rPr>
              <w:t>C</w:t>
            </w:r>
          </w:p>
        </w:tc>
        <w:tc>
          <w:tcPr>
            <w:tcW w:w="1289" w:type="dxa"/>
            <w:tcBorders>
              <w:top w:val="single" w:sz="8" w:space="0" w:color="3379BD"/>
              <w:left w:val="nil"/>
              <w:bottom w:val="single" w:sz="8" w:space="0" w:color="3379BD"/>
              <w:right w:val="single" w:sz="8" w:space="0" w:color="3379BD"/>
            </w:tcBorders>
            <w:shd w:val="clear" w:color="000000" w:fill="00B5E2"/>
            <w:vAlign w:val="center"/>
            <w:hideMark/>
          </w:tcPr>
          <w:p w14:paraId="3736C12B" w14:textId="77777777" w:rsidR="00E743C6" w:rsidRPr="006B0ED0" w:rsidRDefault="00E743C6" w:rsidP="00E743C6">
            <w:pPr>
              <w:jc w:val="center"/>
              <w:rPr>
                <w:rFonts w:ascii="Calibri" w:eastAsia="Times New Roman" w:hAnsi="Calibri" w:cs="Times New Roman"/>
                <w:b/>
                <w:bCs/>
                <w:color w:val="FFFFFF"/>
                <w:sz w:val="20"/>
                <w:szCs w:val="20"/>
              </w:rPr>
            </w:pPr>
            <w:r w:rsidRPr="006B0ED0">
              <w:rPr>
                <w:rFonts w:ascii="Calibri" w:eastAsia="Times New Roman" w:hAnsi="Calibri" w:cs="Arial"/>
                <w:b/>
                <w:bCs/>
                <w:color w:val="FFFFFF"/>
                <w:sz w:val="20"/>
                <w:szCs w:val="20"/>
              </w:rPr>
              <w:t>D</w:t>
            </w:r>
          </w:p>
        </w:tc>
      </w:tr>
      <w:tr w:rsidR="00E743C6" w:rsidRPr="006B0ED0" w14:paraId="473F99B2" w14:textId="77777777" w:rsidTr="00E743C6">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tcPr>
          <w:p w14:paraId="11C07F6F" w14:textId="7B5B8FE5" w:rsidR="00E743C6" w:rsidRPr="006B0ED0" w:rsidRDefault="00E743C6" w:rsidP="00E743C6">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52</w:t>
            </w:r>
          </w:p>
        </w:tc>
        <w:tc>
          <w:tcPr>
            <w:tcW w:w="3076" w:type="dxa"/>
            <w:tcBorders>
              <w:top w:val="nil"/>
              <w:left w:val="nil"/>
              <w:bottom w:val="single" w:sz="8" w:space="0" w:color="3379BD"/>
              <w:right w:val="single" w:sz="8" w:space="0" w:color="3379BD"/>
            </w:tcBorders>
            <w:shd w:val="clear" w:color="000000" w:fill="DFE3E5"/>
            <w:vAlign w:val="center"/>
          </w:tcPr>
          <w:p w14:paraId="20E578E1" w14:textId="02AC2B86" w:rsidR="00E743C6" w:rsidRPr="006B0ED0" w:rsidRDefault="00E743C6" w:rsidP="00E743C6">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Shrub Scrub</w:t>
            </w:r>
          </w:p>
        </w:tc>
        <w:tc>
          <w:tcPr>
            <w:tcW w:w="1289" w:type="dxa"/>
            <w:tcBorders>
              <w:top w:val="nil"/>
              <w:left w:val="nil"/>
              <w:bottom w:val="single" w:sz="8" w:space="0" w:color="3379BD"/>
              <w:right w:val="single" w:sz="8" w:space="0" w:color="3379BD"/>
            </w:tcBorders>
            <w:shd w:val="clear" w:color="000000" w:fill="DFE3E5"/>
            <w:vAlign w:val="center"/>
          </w:tcPr>
          <w:p w14:paraId="1E5B0204" w14:textId="220E5360" w:rsidR="00E743C6" w:rsidRPr="006B0ED0" w:rsidRDefault="00E743C6" w:rsidP="00E743C6">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30</w:t>
            </w:r>
          </w:p>
        </w:tc>
        <w:tc>
          <w:tcPr>
            <w:tcW w:w="1289" w:type="dxa"/>
            <w:tcBorders>
              <w:top w:val="nil"/>
              <w:left w:val="nil"/>
              <w:bottom w:val="single" w:sz="8" w:space="0" w:color="3379BD"/>
              <w:right w:val="single" w:sz="8" w:space="0" w:color="3379BD"/>
            </w:tcBorders>
            <w:shd w:val="clear" w:color="000000" w:fill="DFE3E5"/>
            <w:vAlign w:val="center"/>
          </w:tcPr>
          <w:p w14:paraId="246928B9" w14:textId="1AA15D5A" w:rsidR="00E743C6" w:rsidRPr="006B0ED0" w:rsidRDefault="00E743C6" w:rsidP="00E743C6">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48</w:t>
            </w:r>
          </w:p>
        </w:tc>
        <w:tc>
          <w:tcPr>
            <w:tcW w:w="1289" w:type="dxa"/>
            <w:tcBorders>
              <w:top w:val="nil"/>
              <w:left w:val="nil"/>
              <w:bottom w:val="single" w:sz="8" w:space="0" w:color="3379BD"/>
              <w:right w:val="single" w:sz="8" w:space="0" w:color="3379BD"/>
            </w:tcBorders>
            <w:shd w:val="clear" w:color="000000" w:fill="DFE3E5"/>
            <w:vAlign w:val="center"/>
          </w:tcPr>
          <w:p w14:paraId="714C0FCE" w14:textId="3B86F726" w:rsidR="00E743C6" w:rsidRPr="006B0ED0" w:rsidRDefault="00E743C6" w:rsidP="00E743C6">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65</w:t>
            </w:r>
          </w:p>
        </w:tc>
        <w:tc>
          <w:tcPr>
            <w:tcW w:w="1289" w:type="dxa"/>
            <w:tcBorders>
              <w:top w:val="nil"/>
              <w:left w:val="nil"/>
              <w:bottom w:val="single" w:sz="8" w:space="0" w:color="3379BD"/>
              <w:right w:val="single" w:sz="8" w:space="0" w:color="3379BD"/>
            </w:tcBorders>
            <w:shd w:val="clear" w:color="000000" w:fill="DFE3E5"/>
            <w:vAlign w:val="center"/>
          </w:tcPr>
          <w:p w14:paraId="0E07406F" w14:textId="43C44226" w:rsidR="00E743C6" w:rsidRPr="006B0ED0" w:rsidRDefault="00E743C6" w:rsidP="00E743C6">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73</w:t>
            </w:r>
          </w:p>
        </w:tc>
      </w:tr>
      <w:tr w:rsidR="00E743C6" w:rsidRPr="006B0ED0" w14:paraId="52B1B198" w14:textId="77777777" w:rsidTr="00E743C6">
        <w:trPr>
          <w:trHeight w:val="315"/>
          <w:jc w:val="center"/>
        </w:trPr>
        <w:tc>
          <w:tcPr>
            <w:tcW w:w="1308" w:type="dxa"/>
            <w:tcBorders>
              <w:top w:val="nil"/>
              <w:left w:val="single" w:sz="8" w:space="0" w:color="3379BD"/>
              <w:bottom w:val="single" w:sz="8" w:space="0" w:color="3379BD"/>
              <w:right w:val="single" w:sz="8" w:space="0" w:color="3379BD"/>
            </w:tcBorders>
            <w:vAlign w:val="center"/>
          </w:tcPr>
          <w:p w14:paraId="6DF8246B" w14:textId="5B2A815F" w:rsidR="00E743C6" w:rsidRPr="006B0ED0" w:rsidRDefault="00E743C6" w:rsidP="00E743C6">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71</w:t>
            </w:r>
          </w:p>
        </w:tc>
        <w:tc>
          <w:tcPr>
            <w:tcW w:w="3076" w:type="dxa"/>
            <w:tcBorders>
              <w:top w:val="nil"/>
              <w:left w:val="nil"/>
              <w:bottom w:val="single" w:sz="8" w:space="0" w:color="3379BD"/>
              <w:right w:val="single" w:sz="8" w:space="0" w:color="3379BD"/>
            </w:tcBorders>
            <w:vAlign w:val="center"/>
          </w:tcPr>
          <w:p w14:paraId="639A0625" w14:textId="08B203FD" w:rsidR="00E743C6" w:rsidRPr="006B0ED0" w:rsidRDefault="00E743C6" w:rsidP="00E743C6">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Herbaceous</w:t>
            </w:r>
          </w:p>
        </w:tc>
        <w:tc>
          <w:tcPr>
            <w:tcW w:w="1289" w:type="dxa"/>
            <w:tcBorders>
              <w:top w:val="nil"/>
              <w:left w:val="nil"/>
              <w:bottom w:val="single" w:sz="8" w:space="0" w:color="3379BD"/>
              <w:right w:val="single" w:sz="8" w:space="0" w:color="3379BD"/>
            </w:tcBorders>
            <w:vAlign w:val="center"/>
          </w:tcPr>
          <w:p w14:paraId="26EA9B3A" w14:textId="304FB8A8" w:rsidR="00E743C6" w:rsidRPr="006B0ED0" w:rsidRDefault="00E743C6" w:rsidP="00E743C6">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49</w:t>
            </w:r>
          </w:p>
        </w:tc>
        <w:tc>
          <w:tcPr>
            <w:tcW w:w="1289" w:type="dxa"/>
            <w:tcBorders>
              <w:top w:val="nil"/>
              <w:left w:val="nil"/>
              <w:bottom w:val="single" w:sz="8" w:space="0" w:color="3379BD"/>
              <w:right w:val="single" w:sz="8" w:space="0" w:color="3379BD"/>
            </w:tcBorders>
            <w:vAlign w:val="center"/>
          </w:tcPr>
          <w:p w14:paraId="1151B51F" w14:textId="7D6BE443" w:rsidR="00E743C6" w:rsidRPr="006B0ED0" w:rsidRDefault="00E743C6" w:rsidP="00E743C6">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62</w:t>
            </w:r>
          </w:p>
        </w:tc>
        <w:tc>
          <w:tcPr>
            <w:tcW w:w="1289" w:type="dxa"/>
            <w:tcBorders>
              <w:top w:val="nil"/>
              <w:left w:val="nil"/>
              <w:bottom w:val="single" w:sz="8" w:space="0" w:color="3379BD"/>
              <w:right w:val="single" w:sz="8" w:space="0" w:color="3379BD"/>
            </w:tcBorders>
            <w:vAlign w:val="center"/>
          </w:tcPr>
          <w:p w14:paraId="069E30D2" w14:textId="2F20D960" w:rsidR="00E743C6" w:rsidRPr="006B0ED0" w:rsidRDefault="00E743C6" w:rsidP="00E743C6">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74</w:t>
            </w:r>
          </w:p>
        </w:tc>
        <w:tc>
          <w:tcPr>
            <w:tcW w:w="1289" w:type="dxa"/>
            <w:tcBorders>
              <w:top w:val="nil"/>
              <w:left w:val="nil"/>
              <w:bottom w:val="single" w:sz="8" w:space="0" w:color="3379BD"/>
              <w:right w:val="single" w:sz="8" w:space="0" w:color="3379BD"/>
            </w:tcBorders>
            <w:vAlign w:val="center"/>
          </w:tcPr>
          <w:p w14:paraId="7DC3917F" w14:textId="1A3FF518" w:rsidR="00E743C6" w:rsidRPr="006B0ED0" w:rsidRDefault="00E743C6" w:rsidP="00E743C6">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85</w:t>
            </w:r>
          </w:p>
        </w:tc>
      </w:tr>
      <w:tr w:rsidR="00E743C6" w:rsidRPr="006B0ED0" w14:paraId="694B30BE" w14:textId="77777777" w:rsidTr="00E743C6">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tcPr>
          <w:p w14:paraId="05F6E2D3" w14:textId="22AA5C8F" w:rsidR="00E743C6" w:rsidRPr="006B0ED0" w:rsidRDefault="00E743C6" w:rsidP="00E743C6">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81</w:t>
            </w:r>
          </w:p>
        </w:tc>
        <w:tc>
          <w:tcPr>
            <w:tcW w:w="3076" w:type="dxa"/>
            <w:tcBorders>
              <w:top w:val="nil"/>
              <w:left w:val="nil"/>
              <w:bottom w:val="single" w:sz="8" w:space="0" w:color="3379BD"/>
              <w:right w:val="single" w:sz="8" w:space="0" w:color="3379BD"/>
            </w:tcBorders>
            <w:shd w:val="clear" w:color="000000" w:fill="DFE3E5"/>
            <w:vAlign w:val="center"/>
          </w:tcPr>
          <w:p w14:paraId="6B685A85" w14:textId="7CAD8E52" w:rsidR="00E743C6" w:rsidRPr="006B0ED0" w:rsidRDefault="00E743C6" w:rsidP="00E743C6">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Hay Pasture</w:t>
            </w:r>
          </w:p>
        </w:tc>
        <w:tc>
          <w:tcPr>
            <w:tcW w:w="1289" w:type="dxa"/>
            <w:tcBorders>
              <w:top w:val="nil"/>
              <w:left w:val="nil"/>
              <w:bottom w:val="single" w:sz="8" w:space="0" w:color="3379BD"/>
              <w:right w:val="single" w:sz="8" w:space="0" w:color="3379BD"/>
            </w:tcBorders>
            <w:shd w:val="clear" w:color="000000" w:fill="DFE3E5"/>
            <w:vAlign w:val="center"/>
          </w:tcPr>
          <w:p w14:paraId="1D657E0E" w14:textId="2939DEB8" w:rsidR="00E743C6" w:rsidRPr="006B0ED0" w:rsidRDefault="00E743C6" w:rsidP="00E743C6">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39</w:t>
            </w:r>
          </w:p>
        </w:tc>
        <w:tc>
          <w:tcPr>
            <w:tcW w:w="1289" w:type="dxa"/>
            <w:tcBorders>
              <w:top w:val="nil"/>
              <w:left w:val="nil"/>
              <w:bottom w:val="single" w:sz="8" w:space="0" w:color="3379BD"/>
              <w:right w:val="single" w:sz="8" w:space="0" w:color="3379BD"/>
            </w:tcBorders>
            <w:shd w:val="clear" w:color="000000" w:fill="DFE3E5"/>
            <w:vAlign w:val="center"/>
          </w:tcPr>
          <w:p w14:paraId="59A19B8D" w14:textId="2C220725" w:rsidR="00E743C6" w:rsidRPr="006B0ED0" w:rsidRDefault="00E743C6" w:rsidP="00E743C6">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61</w:t>
            </w:r>
          </w:p>
        </w:tc>
        <w:tc>
          <w:tcPr>
            <w:tcW w:w="1289" w:type="dxa"/>
            <w:tcBorders>
              <w:top w:val="nil"/>
              <w:left w:val="nil"/>
              <w:bottom w:val="single" w:sz="8" w:space="0" w:color="3379BD"/>
              <w:right w:val="single" w:sz="8" w:space="0" w:color="3379BD"/>
            </w:tcBorders>
            <w:shd w:val="clear" w:color="000000" w:fill="DFE3E5"/>
            <w:vAlign w:val="center"/>
          </w:tcPr>
          <w:p w14:paraId="27D96078" w14:textId="3078E92A" w:rsidR="00E743C6" w:rsidRPr="006B0ED0" w:rsidRDefault="00E743C6" w:rsidP="00E743C6">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74</w:t>
            </w:r>
          </w:p>
        </w:tc>
        <w:tc>
          <w:tcPr>
            <w:tcW w:w="1289" w:type="dxa"/>
            <w:tcBorders>
              <w:top w:val="nil"/>
              <w:left w:val="nil"/>
              <w:bottom w:val="single" w:sz="8" w:space="0" w:color="3379BD"/>
              <w:right w:val="single" w:sz="8" w:space="0" w:color="3379BD"/>
            </w:tcBorders>
            <w:shd w:val="clear" w:color="000000" w:fill="DFE3E5"/>
            <w:vAlign w:val="center"/>
          </w:tcPr>
          <w:p w14:paraId="595692D1" w14:textId="2995B81E" w:rsidR="00E743C6" w:rsidRPr="006B0ED0" w:rsidRDefault="00E743C6" w:rsidP="00E743C6">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84</w:t>
            </w:r>
          </w:p>
        </w:tc>
      </w:tr>
      <w:tr w:rsidR="00E743C6" w:rsidRPr="006B0ED0" w14:paraId="5398D0A3" w14:textId="77777777" w:rsidTr="00E743C6">
        <w:trPr>
          <w:trHeight w:val="315"/>
          <w:jc w:val="center"/>
        </w:trPr>
        <w:tc>
          <w:tcPr>
            <w:tcW w:w="1308" w:type="dxa"/>
            <w:tcBorders>
              <w:top w:val="nil"/>
              <w:left w:val="single" w:sz="8" w:space="0" w:color="3379BD"/>
              <w:bottom w:val="single" w:sz="8" w:space="0" w:color="3379BD"/>
              <w:right w:val="single" w:sz="8" w:space="0" w:color="3379BD"/>
            </w:tcBorders>
            <w:vAlign w:val="center"/>
          </w:tcPr>
          <w:p w14:paraId="0499DA8B" w14:textId="6FC511CA" w:rsidR="00E743C6" w:rsidRPr="006B0ED0" w:rsidRDefault="00E743C6" w:rsidP="00E743C6">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82</w:t>
            </w:r>
          </w:p>
        </w:tc>
        <w:tc>
          <w:tcPr>
            <w:tcW w:w="3076" w:type="dxa"/>
            <w:tcBorders>
              <w:top w:val="nil"/>
              <w:left w:val="nil"/>
              <w:bottom w:val="single" w:sz="8" w:space="0" w:color="3379BD"/>
              <w:right w:val="single" w:sz="8" w:space="0" w:color="3379BD"/>
            </w:tcBorders>
            <w:vAlign w:val="center"/>
          </w:tcPr>
          <w:p w14:paraId="1D61C118" w14:textId="764869BE" w:rsidR="00E743C6" w:rsidRPr="006B0ED0" w:rsidRDefault="00E743C6" w:rsidP="00E743C6">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Cultivated Crops</w:t>
            </w:r>
          </w:p>
        </w:tc>
        <w:tc>
          <w:tcPr>
            <w:tcW w:w="1289" w:type="dxa"/>
            <w:tcBorders>
              <w:top w:val="nil"/>
              <w:left w:val="nil"/>
              <w:bottom w:val="single" w:sz="8" w:space="0" w:color="3379BD"/>
              <w:right w:val="single" w:sz="8" w:space="0" w:color="3379BD"/>
            </w:tcBorders>
            <w:vAlign w:val="center"/>
          </w:tcPr>
          <w:p w14:paraId="4A396AD8" w14:textId="530D8580" w:rsidR="00E743C6" w:rsidRPr="006B0ED0" w:rsidRDefault="00E743C6" w:rsidP="00E743C6">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51</w:t>
            </w:r>
          </w:p>
        </w:tc>
        <w:tc>
          <w:tcPr>
            <w:tcW w:w="1289" w:type="dxa"/>
            <w:tcBorders>
              <w:top w:val="nil"/>
              <w:left w:val="nil"/>
              <w:bottom w:val="single" w:sz="8" w:space="0" w:color="3379BD"/>
              <w:right w:val="single" w:sz="8" w:space="0" w:color="3379BD"/>
            </w:tcBorders>
            <w:vAlign w:val="center"/>
          </w:tcPr>
          <w:p w14:paraId="17C4B1FE" w14:textId="48C7537F" w:rsidR="00E743C6" w:rsidRPr="006B0ED0" w:rsidRDefault="00E743C6" w:rsidP="00E743C6">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67</w:t>
            </w:r>
          </w:p>
        </w:tc>
        <w:tc>
          <w:tcPr>
            <w:tcW w:w="1289" w:type="dxa"/>
            <w:tcBorders>
              <w:top w:val="nil"/>
              <w:left w:val="nil"/>
              <w:bottom w:val="single" w:sz="8" w:space="0" w:color="3379BD"/>
              <w:right w:val="single" w:sz="8" w:space="0" w:color="3379BD"/>
            </w:tcBorders>
            <w:vAlign w:val="center"/>
          </w:tcPr>
          <w:p w14:paraId="6FED28B9" w14:textId="21DAFA5E" w:rsidR="00E743C6" w:rsidRPr="006B0ED0" w:rsidRDefault="00E743C6" w:rsidP="00E743C6">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76</w:t>
            </w:r>
          </w:p>
        </w:tc>
        <w:tc>
          <w:tcPr>
            <w:tcW w:w="1289" w:type="dxa"/>
            <w:tcBorders>
              <w:top w:val="nil"/>
              <w:left w:val="nil"/>
              <w:bottom w:val="single" w:sz="8" w:space="0" w:color="3379BD"/>
              <w:right w:val="single" w:sz="8" w:space="0" w:color="3379BD"/>
            </w:tcBorders>
            <w:vAlign w:val="center"/>
          </w:tcPr>
          <w:p w14:paraId="78403E09" w14:textId="68C3A9B5" w:rsidR="00E743C6" w:rsidRPr="006B0ED0" w:rsidRDefault="00E743C6" w:rsidP="00E743C6">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80</w:t>
            </w:r>
          </w:p>
        </w:tc>
      </w:tr>
      <w:tr w:rsidR="00E743C6" w:rsidRPr="006B0ED0" w14:paraId="6CE5DAB6" w14:textId="77777777" w:rsidTr="00E743C6">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tcPr>
          <w:p w14:paraId="2888D050" w14:textId="3552827C" w:rsidR="00E743C6" w:rsidRPr="006B0ED0" w:rsidRDefault="00E743C6" w:rsidP="00E743C6">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90</w:t>
            </w:r>
          </w:p>
        </w:tc>
        <w:tc>
          <w:tcPr>
            <w:tcW w:w="3076" w:type="dxa"/>
            <w:tcBorders>
              <w:top w:val="nil"/>
              <w:left w:val="nil"/>
              <w:bottom w:val="single" w:sz="8" w:space="0" w:color="3379BD"/>
              <w:right w:val="single" w:sz="8" w:space="0" w:color="3379BD"/>
            </w:tcBorders>
            <w:shd w:val="clear" w:color="000000" w:fill="DFE3E5"/>
            <w:vAlign w:val="center"/>
          </w:tcPr>
          <w:p w14:paraId="23AC5166" w14:textId="3964A0F2" w:rsidR="00E743C6" w:rsidRPr="006B0ED0" w:rsidRDefault="00E743C6" w:rsidP="00E743C6">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Woody Wetlands</w:t>
            </w:r>
          </w:p>
        </w:tc>
        <w:tc>
          <w:tcPr>
            <w:tcW w:w="1289" w:type="dxa"/>
            <w:tcBorders>
              <w:top w:val="nil"/>
              <w:left w:val="nil"/>
              <w:bottom w:val="single" w:sz="8" w:space="0" w:color="3379BD"/>
              <w:right w:val="single" w:sz="8" w:space="0" w:color="3379BD"/>
            </w:tcBorders>
            <w:shd w:val="clear" w:color="000000" w:fill="DFE3E5"/>
            <w:vAlign w:val="center"/>
          </w:tcPr>
          <w:p w14:paraId="24BB82B5" w14:textId="647F2BD8" w:rsidR="00E743C6" w:rsidRPr="006B0ED0" w:rsidRDefault="00E743C6" w:rsidP="00E743C6">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72</w:t>
            </w:r>
          </w:p>
        </w:tc>
        <w:tc>
          <w:tcPr>
            <w:tcW w:w="1289" w:type="dxa"/>
            <w:tcBorders>
              <w:top w:val="nil"/>
              <w:left w:val="nil"/>
              <w:bottom w:val="single" w:sz="8" w:space="0" w:color="3379BD"/>
              <w:right w:val="single" w:sz="8" w:space="0" w:color="3379BD"/>
            </w:tcBorders>
            <w:shd w:val="clear" w:color="000000" w:fill="DFE3E5"/>
            <w:vAlign w:val="center"/>
          </w:tcPr>
          <w:p w14:paraId="48922CA0" w14:textId="7DC1E5B1" w:rsidR="00E743C6" w:rsidRPr="006B0ED0" w:rsidRDefault="00E743C6" w:rsidP="00E743C6">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80</w:t>
            </w:r>
          </w:p>
        </w:tc>
        <w:tc>
          <w:tcPr>
            <w:tcW w:w="1289" w:type="dxa"/>
            <w:tcBorders>
              <w:top w:val="nil"/>
              <w:left w:val="nil"/>
              <w:bottom w:val="single" w:sz="8" w:space="0" w:color="3379BD"/>
              <w:right w:val="single" w:sz="8" w:space="0" w:color="3379BD"/>
            </w:tcBorders>
            <w:shd w:val="clear" w:color="000000" w:fill="DFE3E5"/>
            <w:vAlign w:val="center"/>
          </w:tcPr>
          <w:p w14:paraId="2AC6CBEB" w14:textId="1295AA8B" w:rsidR="00E743C6" w:rsidRPr="006B0ED0" w:rsidRDefault="00E743C6" w:rsidP="00E743C6">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87</w:t>
            </w:r>
          </w:p>
        </w:tc>
        <w:tc>
          <w:tcPr>
            <w:tcW w:w="1289" w:type="dxa"/>
            <w:tcBorders>
              <w:top w:val="nil"/>
              <w:left w:val="nil"/>
              <w:bottom w:val="single" w:sz="8" w:space="0" w:color="3379BD"/>
              <w:right w:val="single" w:sz="8" w:space="0" w:color="3379BD"/>
            </w:tcBorders>
            <w:shd w:val="clear" w:color="000000" w:fill="DFE3E5"/>
            <w:vAlign w:val="center"/>
          </w:tcPr>
          <w:p w14:paraId="2789CF63" w14:textId="12BC57E9" w:rsidR="00E743C6" w:rsidRPr="006B0ED0" w:rsidRDefault="00E743C6" w:rsidP="00E743C6">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93</w:t>
            </w:r>
          </w:p>
        </w:tc>
      </w:tr>
      <w:tr w:rsidR="00E743C6" w:rsidRPr="006B0ED0" w14:paraId="742C66AE" w14:textId="77777777" w:rsidTr="00E743C6">
        <w:trPr>
          <w:trHeight w:val="315"/>
          <w:jc w:val="center"/>
        </w:trPr>
        <w:tc>
          <w:tcPr>
            <w:tcW w:w="1308" w:type="dxa"/>
            <w:tcBorders>
              <w:top w:val="nil"/>
              <w:left w:val="single" w:sz="8" w:space="0" w:color="3379BD"/>
              <w:bottom w:val="single" w:sz="8" w:space="0" w:color="3379BD"/>
              <w:right w:val="single" w:sz="8" w:space="0" w:color="3379BD"/>
            </w:tcBorders>
            <w:vAlign w:val="center"/>
          </w:tcPr>
          <w:p w14:paraId="4904587A" w14:textId="5E854F13" w:rsidR="00E743C6" w:rsidRPr="006B0ED0" w:rsidRDefault="00E743C6" w:rsidP="00E743C6">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95</w:t>
            </w:r>
          </w:p>
        </w:tc>
        <w:tc>
          <w:tcPr>
            <w:tcW w:w="3076" w:type="dxa"/>
            <w:tcBorders>
              <w:top w:val="nil"/>
              <w:left w:val="nil"/>
              <w:bottom w:val="single" w:sz="8" w:space="0" w:color="3379BD"/>
              <w:right w:val="single" w:sz="8" w:space="0" w:color="3379BD"/>
            </w:tcBorders>
            <w:vAlign w:val="center"/>
          </w:tcPr>
          <w:p w14:paraId="46C30A6D" w14:textId="3B37660B" w:rsidR="00E743C6" w:rsidRPr="006B0ED0" w:rsidRDefault="00E743C6" w:rsidP="00E743C6">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Emergent Herbaceous Wetlands</w:t>
            </w:r>
          </w:p>
        </w:tc>
        <w:tc>
          <w:tcPr>
            <w:tcW w:w="1289" w:type="dxa"/>
            <w:tcBorders>
              <w:top w:val="nil"/>
              <w:left w:val="nil"/>
              <w:bottom w:val="single" w:sz="8" w:space="0" w:color="3379BD"/>
              <w:right w:val="single" w:sz="8" w:space="0" w:color="3379BD"/>
            </w:tcBorders>
            <w:vAlign w:val="center"/>
          </w:tcPr>
          <w:p w14:paraId="4373C3BA" w14:textId="57527B2D" w:rsidR="00E743C6" w:rsidRPr="006B0ED0" w:rsidRDefault="00E743C6" w:rsidP="00E743C6">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72</w:t>
            </w:r>
          </w:p>
        </w:tc>
        <w:tc>
          <w:tcPr>
            <w:tcW w:w="1289" w:type="dxa"/>
            <w:tcBorders>
              <w:top w:val="nil"/>
              <w:left w:val="nil"/>
              <w:bottom w:val="single" w:sz="8" w:space="0" w:color="3379BD"/>
              <w:right w:val="single" w:sz="8" w:space="0" w:color="3379BD"/>
            </w:tcBorders>
            <w:vAlign w:val="center"/>
          </w:tcPr>
          <w:p w14:paraId="4B287F07" w14:textId="124C5C9F" w:rsidR="00E743C6" w:rsidRPr="006B0ED0" w:rsidRDefault="00E743C6" w:rsidP="00E743C6">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80</w:t>
            </w:r>
          </w:p>
        </w:tc>
        <w:tc>
          <w:tcPr>
            <w:tcW w:w="1289" w:type="dxa"/>
            <w:tcBorders>
              <w:top w:val="nil"/>
              <w:left w:val="nil"/>
              <w:bottom w:val="single" w:sz="8" w:space="0" w:color="3379BD"/>
              <w:right w:val="single" w:sz="8" w:space="0" w:color="3379BD"/>
            </w:tcBorders>
            <w:vAlign w:val="center"/>
          </w:tcPr>
          <w:p w14:paraId="6B9DFBD1" w14:textId="1689E920" w:rsidR="00E743C6" w:rsidRPr="006B0ED0" w:rsidRDefault="00E743C6" w:rsidP="00E743C6">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87</w:t>
            </w:r>
          </w:p>
        </w:tc>
        <w:tc>
          <w:tcPr>
            <w:tcW w:w="1289" w:type="dxa"/>
            <w:tcBorders>
              <w:top w:val="nil"/>
              <w:left w:val="nil"/>
              <w:bottom w:val="single" w:sz="8" w:space="0" w:color="3379BD"/>
              <w:right w:val="single" w:sz="8" w:space="0" w:color="3379BD"/>
            </w:tcBorders>
            <w:vAlign w:val="center"/>
          </w:tcPr>
          <w:p w14:paraId="26D27DAF" w14:textId="43C12E4B" w:rsidR="00E743C6" w:rsidRPr="006B0ED0" w:rsidRDefault="00E743C6" w:rsidP="00E743C6">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93</w:t>
            </w:r>
          </w:p>
        </w:tc>
      </w:tr>
    </w:tbl>
    <w:p w14:paraId="094B5928" w14:textId="24D323F4" w:rsidR="00E40918" w:rsidRPr="004D0A69" w:rsidRDefault="00E743C6" w:rsidP="00E40918">
      <w:pPr>
        <w:pStyle w:val="BodyText"/>
      </w:pPr>
      <w:r>
        <w:br/>
      </w:r>
      <w:r w:rsidR="00773C8E" w:rsidRPr="00773C8E">
        <w:t>In addition to rainfall, the 1-percent plus and minus event estimates were further refined by adjustment of thei</w:t>
      </w:r>
      <w:r w:rsidR="00773C8E">
        <w:t xml:space="preserve">r respective </w:t>
      </w:r>
      <w:r w:rsidR="002D637E">
        <w:t>CNs</w:t>
      </w:r>
      <w:r w:rsidR="00773C8E">
        <w:t xml:space="preserve">. </w:t>
      </w:r>
      <w:r w:rsidR="00E40918" w:rsidRPr="004D0A69">
        <w:t xml:space="preserve">A </w:t>
      </w:r>
      <w:r w:rsidR="00403ED3">
        <w:t xml:space="preserve">CN </w:t>
      </w:r>
      <w:r w:rsidR="00E40918" w:rsidRPr="004D0A69">
        <w:t>can be considered a parameter, exhibiting variability that follows some frequency distribution.</w:t>
      </w:r>
      <w:r w:rsidR="00E40918">
        <w:t xml:space="preserve"> </w:t>
      </w:r>
      <w:r w:rsidR="00E40918" w:rsidRPr="004D0A69">
        <w:t xml:space="preserve"> While Antecedent Runoff Condition (ARC) II CNs were used for a 1</w:t>
      </w:r>
      <w:r w:rsidR="005C72F6">
        <w:t>-percent</w:t>
      </w:r>
      <w:r w:rsidR="00E40918" w:rsidRPr="004D0A69">
        <w:t xml:space="preserve"> event, the range between ARC I and ARC III for the ARC II CN was assumed to correspond to an 80% confidence interval of the ARC II CN.</w:t>
      </w:r>
      <w:r w:rsidR="00E40918">
        <w:t xml:space="preserve"> </w:t>
      </w:r>
      <w:r w:rsidR="00E40918" w:rsidRPr="004D0A69">
        <w:t xml:space="preserve"> The CN </w:t>
      </w:r>
      <w:r w:rsidR="00E40918">
        <w:t>l</w:t>
      </w:r>
      <w:r w:rsidR="00E40918" w:rsidRPr="004D0A69">
        <w:t xml:space="preserve">oss method assumes a maximum potential retention parameter, S, is inversely related to a CN by S = 1000 / CN – 10; this relationship is based on a median value of S determined from plotting a large number of observations. </w:t>
      </w:r>
    </w:p>
    <w:p w14:paraId="2AA80AFB" w14:textId="32D7CE02" w:rsidR="00E40918" w:rsidRPr="004D0A69" w:rsidRDefault="00E40918" w:rsidP="00E40918">
      <w:pPr>
        <w:pStyle w:val="BodyText"/>
      </w:pPr>
      <w:r w:rsidRPr="004D0A69">
        <w:t xml:space="preserve">Chapter 5 of the NRCS </w:t>
      </w:r>
      <w:r>
        <w:t>National Engineering Handbook (</w:t>
      </w:r>
      <w:r w:rsidRPr="004D0A69">
        <w:t>NEH</w:t>
      </w:r>
      <w:r>
        <w:t>)</w:t>
      </w:r>
      <w:r w:rsidRPr="004D0A69">
        <w:t xml:space="preserve"> Part 630 provides an example of computing a CN for a watershed based on annual peak gage observations. </w:t>
      </w:r>
      <w:r>
        <w:t xml:space="preserve"> </w:t>
      </w:r>
      <w:r w:rsidRPr="004D0A69">
        <w:t>The example involves computing a CN and corresponding S value for each event, then taking the logarithms of the S values.</w:t>
      </w:r>
      <w:r>
        <w:t xml:space="preserve"> </w:t>
      </w:r>
      <w:r w:rsidRPr="004D0A69">
        <w:t xml:space="preserve"> Further, the logarithm of S is assumed to vary normally, and the mean of the logarithms corresponds to the arithmetic median.</w:t>
      </w:r>
      <w:r>
        <w:t xml:space="preserve"> </w:t>
      </w:r>
      <w:r w:rsidRPr="004D0A69">
        <w:t xml:space="preserve"> Therefore, 10% (S10) and 90% (S90) extremes of lognormally distributed S values can be assumed to correspond to ARC III and ARC I condition CN values, respectively.</w:t>
      </w:r>
      <w:r>
        <w:t xml:space="preserve"> </w:t>
      </w:r>
      <w:r w:rsidRPr="004D0A69">
        <w:t xml:space="preserve"> This range represents an 80% confidence interval, corresponding to +/- 1.282 standard deviations from the mean. </w:t>
      </w:r>
      <w:r>
        <w:t xml:space="preserve"> </w:t>
      </w:r>
      <w:r w:rsidRPr="004D0A69">
        <w:t>The following procedure was used to estimate one standard deviation of a given CN (in fact, one standard deviation of the logarithm of S) for the purposes of modeling 1</w:t>
      </w:r>
      <w:r w:rsidR="005C72F6">
        <w:t>-percent</w:t>
      </w:r>
      <w:r w:rsidRPr="004D0A69">
        <w:t xml:space="preserve"> plus and minus events.</w:t>
      </w:r>
      <w:r>
        <w:t xml:space="preserve"> </w:t>
      </w:r>
      <w:r w:rsidRPr="004D0A69">
        <w:t xml:space="preserve"> First, ARC III (corresponding to S10) and ARC I (corresponding to S90) CN values can be estimated from a 1</w:t>
      </w:r>
      <w:r w:rsidR="005C72F6">
        <w:t>-percent</w:t>
      </w:r>
      <w:r w:rsidRPr="004D0A69">
        <w:t xml:space="preserve"> CN (ARC II) by:</w:t>
      </w:r>
    </w:p>
    <w:p w14:paraId="0BBA028C" w14:textId="77777777" w:rsidR="00E40918" w:rsidRPr="004D0A69" w:rsidRDefault="00E40918" w:rsidP="00E40918">
      <w:pPr>
        <w:pStyle w:val="BodyText"/>
        <w:rPr>
          <w:rFonts w:eastAsiaTheme="minorEastAsia"/>
        </w:rPr>
      </w:pPr>
      <m:oMathPara>
        <m:oMath>
          <m:r>
            <m:rPr>
              <m:sty m:val="p"/>
            </m:rPr>
            <w:rPr>
              <w:rFonts w:ascii="Cambria Math" w:hAnsi="Cambria Math"/>
            </w:rPr>
            <m:t>CNI=4.2*</m:t>
          </m:r>
          <m:f>
            <m:fPr>
              <m:type m:val="lin"/>
              <m:ctrlPr>
                <w:rPr>
                  <w:rFonts w:ascii="Cambria Math" w:hAnsi="Cambria Math"/>
                </w:rPr>
              </m:ctrlPr>
            </m:fPr>
            <m:num>
              <m:r>
                <m:rPr>
                  <m:sty m:val="p"/>
                </m:rPr>
                <w:rPr>
                  <w:rFonts w:ascii="Cambria Math" w:hAnsi="Cambria Math"/>
                </w:rPr>
                <m:t xml:space="preserve">CNII </m:t>
              </m:r>
            </m:num>
            <m:den>
              <m:r>
                <m:rPr>
                  <m:sty m:val="p"/>
                </m:rPr>
                <w:rPr>
                  <w:rFonts w:ascii="Cambria Math" w:hAnsi="Cambria Math"/>
                </w:rPr>
                <m:t xml:space="preserve"> (10-0.058*CNII</m:t>
              </m:r>
            </m:den>
          </m:f>
          <m:r>
            <m:rPr>
              <m:sty m:val="p"/>
            </m:rPr>
            <w:rPr>
              <w:rFonts w:ascii="Cambria Math" w:hAnsi="Cambria Math"/>
            </w:rPr>
            <m:t>)</m:t>
          </m:r>
        </m:oMath>
      </m:oMathPara>
    </w:p>
    <w:p w14:paraId="7A0073A5" w14:textId="77777777" w:rsidR="00E40918" w:rsidRPr="00E40918" w:rsidRDefault="007D7CA7" w:rsidP="00E40918">
      <w:pPr>
        <w:pStyle w:val="BodyText"/>
        <w:rPr>
          <w:rFonts w:eastAsiaTheme="minorEastAsia"/>
        </w:rPr>
      </w:pPr>
      <m:oMathPara>
        <m:oMath>
          <m:f>
            <m:fPr>
              <m:type m:val="lin"/>
              <m:ctrlPr>
                <w:rPr>
                  <w:rFonts w:ascii="Cambria Math" w:hAnsi="Cambria Math"/>
                </w:rPr>
              </m:ctrlPr>
            </m:fPr>
            <m:num>
              <m:r>
                <m:rPr>
                  <m:sty m:val="p"/>
                </m:rPr>
                <w:rPr>
                  <w:rFonts w:ascii="Cambria Math" w:hAnsi="Cambria Math"/>
                </w:rPr>
                <m:t xml:space="preserve">CNIII = 23 * CNII </m:t>
              </m:r>
            </m:num>
            <m:den>
              <m:r>
                <m:rPr>
                  <m:sty m:val="p"/>
                </m:rPr>
                <w:rPr>
                  <w:rFonts w:ascii="Cambria Math" w:hAnsi="Cambria Math"/>
                </w:rPr>
                <m:t xml:space="preserve"> (10 + 0.13 * CNII)</m:t>
              </m:r>
            </m:den>
          </m:f>
        </m:oMath>
      </m:oMathPara>
    </w:p>
    <w:p w14:paraId="7E618962" w14:textId="77777777" w:rsidR="00E40918" w:rsidRPr="004D0A69" w:rsidRDefault="00E40918" w:rsidP="00E40918">
      <w:pPr>
        <w:pStyle w:val="BodyText"/>
      </w:pPr>
      <w:r w:rsidRPr="004D0A69">
        <w:t>Next, S90 and S10 can be computed by:</w:t>
      </w:r>
    </w:p>
    <w:p w14:paraId="7EE06BF5" w14:textId="77777777" w:rsidR="00E40918" w:rsidRPr="004D0A69" w:rsidRDefault="00E40918" w:rsidP="00E40918">
      <w:pPr>
        <w:pStyle w:val="BodyText"/>
        <w:rPr>
          <w:rFonts w:ascii="Cambria Math" w:hAnsi="Cambria Math"/>
          <w:oMath/>
        </w:rPr>
      </w:pPr>
      <m:oMathPara>
        <m:oMathParaPr>
          <m:jc m:val="center"/>
        </m:oMathParaPr>
        <m:oMath>
          <m:r>
            <m:rPr>
              <m:sty m:val="p"/>
            </m:rPr>
            <w:rPr>
              <w:rFonts w:ascii="Cambria Math" w:hAnsi="Cambria Math"/>
            </w:rPr>
            <m:t>S10 = 1000 / CNIII – 10</m:t>
          </m:r>
        </m:oMath>
      </m:oMathPara>
    </w:p>
    <w:p w14:paraId="029AA3D9" w14:textId="77777777" w:rsidR="00E40918" w:rsidRPr="00E40918" w:rsidRDefault="00E40918" w:rsidP="00E40918">
      <w:pPr>
        <w:pStyle w:val="BodyText"/>
        <w:rPr>
          <w:rFonts w:ascii="Cambria Math" w:hAnsi="Cambria Math"/>
          <w:oMath/>
        </w:rPr>
      </w:pPr>
      <m:oMathPara>
        <m:oMath>
          <m:r>
            <m:rPr>
              <m:sty m:val="p"/>
            </m:rPr>
            <w:rPr>
              <w:rFonts w:ascii="Cambria Math" w:hAnsi="Cambria Math"/>
            </w:rPr>
            <m:t>S90 = 1000 / CNI – 10</m:t>
          </m:r>
        </m:oMath>
      </m:oMathPara>
    </w:p>
    <w:p w14:paraId="018C6978" w14:textId="77777777" w:rsidR="00E40918" w:rsidRPr="004D0A69" w:rsidRDefault="00E40918" w:rsidP="00E40918">
      <w:pPr>
        <w:pStyle w:val="BodyText"/>
      </w:pPr>
      <w:r w:rsidRPr="004D0A69">
        <w:t>The following relationship can then be used to compute one standard deviation of the logarithm of S:</w:t>
      </w:r>
    </w:p>
    <w:p w14:paraId="02B6C577" w14:textId="4BB7EFCD" w:rsidR="00E40918" w:rsidRPr="004D0A69" w:rsidRDefault="00883F2D" w:rsidP="00E40918">
      <w:pPr>
        <w:pStyle w:val="BodyText"/>
      </w:pPr>
      <m:oMathPara>
        <m:oMathParaPr>
          <m:jc m:val="center"/>
        </m:oMathParaPr>
        <m:oMath>
          <m:r>
            <m:rPr>
              <m:sty m:val="p"/>
            </m:rPr>
            <w:rPr>
              <w:rFonts w:ascii="Cambria Math" w:hAnsi="Cambria Math"/>
            </w:rPr>
            <m:t xml:space="preserve">log (S10) = mean </m:t>
          </m:r>
          <m:d>
            <m:dPr>
              <m:ctrlPr>
                <w:rPr>
                  <w:rFonts w:ascii="Cambria Math" w:hAnsi="Cambria Math"/>
                </w:rPr>
              </m:ctrlPr>
            </m:dPr>
            <m:e>
              <m:r>
                <m:rPr>
                  <m:sty m:val="p"/>
                </m:rPr>
                <w:rPr>
                  <w:rFonts w:ascii="Cambria Math" w:hAnsi="Cambria Math"/>
                </w:rPr>
                <m:t>log⁡(S</m:t>
              </m:r>
            </m:e>
          </m:d>
          <m:r>
            <m:rPr>
              <m:sty m:val="p"/>
            </m:rPr>
            <w:rPr>
              <w:rFonts w:ascii="Cambria Math" w:hAnsi="Cambria Math"/>
            </w:rPr>
            <m:t>) + 1.282 std. dev. (log⁡(S))</m:t>
          </m:r>
        </m:oMath>
      </m:oMathPara>
    </w:p>
    <w:p w14:paraId="66E7B39B" w14:textId="77777777" w:rsidR="00883F2D" w:rsidRPr="004D0A69" w:rsidRDefault="00883F2D" w:rsidP="00883F2D">
      <w:pPr>
        <w:pStyle w:val="BodyText"/>
        <w:rPr>
          <w:rFonts w:ascii="Cambria Math" w:hAnsi="Cambria Math"/>
          <w:oMath/>
        </w:rPr>
      </w:pPr>
      <m:oMathPara>
        <m:oMath>
          <m:r>
            <m:rPr>
              <m:sty m:val="p"/>
            </m:rPr>
            <w:rPr>
              <w:rFonts w:ascii="Cambria Math" w:hAnsi="Cambria Math"/>
            </w:rPr>
            <m:t>log (S90) = mean (log⁡(S)) – 1.282 std. dev. (log⁡(S))</m:t>
          </m:r>
        </m:oMath>
      </m:oMathPara>
    </w:p>
    <w:p w14:paraId="092FEF24" w14:textId="77777777" w:rsidR="00E40918" w:rsidRPr="00E40918" w:rsidRDefault="00E40918" w:rsidP="00E40918">
      <w:pPr>
        <w:pStyle w:val="BodyText"/>
        <w:rPr>
          <w:rFonts w:ascii="Cambria Math" w:hAnsi="Cambria Math"/>
          <w:oMath/>
        </w:rPr>
      </w:pPr>
      <m:oMathPara>
        <m:oMath>
          <m:r>
            <m:rPr>
              <m:sty m:val="p"/>
            </m:rPr>
            <w:rPr>
              <w:rFonts w:ascii="Cambria Math" w:hAnsi="Cambria Math"/>
            </w:rPr>
            <m:t>1 std. dev. (logS) = (logS10 – logS90) / 1.282</m:t>
          </m:r>
        </m:oMath>
      </m:oMathPara>
    </w:p>
    <w:p w14:paraId="0EF5F719" w14:textId="50FA9088" w:rsidR="00E40918" w:rsidRPr="004D0A69" w:rsidRDefault="00E40918" w:rsidP="00E40918">
      <w:pPr>
        <w:pStyle w:val="BodyText"/>
      </w:pPr>
      <w:r w:rsidRPr="004D0A69">
        <w:t>Therefore, 1</w:t>
      </w:r>
      <w:r w:rsidR="005C72F6">
        <w:t>-percent</w:t>
      </w:r>
      <w:r w:rsidRPr="004D0A69">
        <w:t xml:space="preserve"> plus and minus S values can be estimated by:</w:t>
      </w:r>
    </w:p>
    <w:p w14:paraId="0D152458" w14:textId="77777777" w:rsidR="00E40918" w:rsidRPr="004D0A69" w:rsidRDefault="00E40918" w:rsidP="00E40918">
      <w:pPr>
        <w:pStyle w:val="BodyText"/>
        <w:rPr>
          <w:rFonts w:ascii="Cambria Math" w:hAnsi="Cambria Math"/>
          <w:oMath/>
        </w:rPr>
      </w:pPr>
      <m:oMathPara>
        <m:oMath>
          <m:r>
            <m:rPr>
              <m:sty m:val="p"/>
            </m:rPr>
            <w:rPr>
              <w:rFonts w:ascii="Cambria Math" w:hAnsi="Cambria Math"/>
            </w:rPr>
            <m:t>log SPlus = logS + [1 std. dev. (logS)]</m:t>
          </m:r>
        </m:oMath>
      </m:oMathPara>
    </w:p>
    <w:p w14:paraId="7F200886" w14:textId="77777777" w:rsidR="00E40918" w:rsidRPr="004D0A69" w:rsidRDefault="00E40918" w:rsidP="00E40918">
      <w:pPr>
        <w:pStyle w:val="BodyText"/>
      </w:pPr>
      <m:oMathPara>
        <m:oMath>
          <m:r>
            <m:rPr>
              <m:sty m:val="p"/>
            </m:rPr>
            <w:rPr>
              <w:rFonts w:ascii="Cambria Math" w:hAnsi="Cambria Math"/>
            </w:rPr>
            <m:t>log SMinus = logS - [1 std. dev. (logS)]</m:t>
          </m:r>
        </m:oMath>
      </m:oMathPara>
    </w:p>
    <w:p w14:paraId="0AF4049A" w14:textId="6665DC83" w:rsidR="00E40918" w:rsidRPr="004D0A69" w:rsidRDefault="00E40918" w:rsidP="00E40918">
      <w:pPr>
        <w:pStyle w:val="BodyText"/>
      </w:pPr>
      <w:r w:rsidRPr="004D0A69">
        <w:t>Finally, 1</w:t>
      </w:r>
      <w:r w:rsidR="005C72F6">
        <w:t>-percent</w:t>
      </w:r>
      <w:r w:rsidRPr="004D0A69">
        <w:t xml:space="preserve"> plus and minus CNs can be computed by:</w:t>
      </w:r>
    </w:p>
    <w:p w14:paraId="4E614E9A" w14:textId="77777777" w:rsidR="00E40918" w:rsidRPr="004D0A69" w:rsidRDefault="00E40918" w:rsidP="00E40918">
      <w:pPr>
        <w:pStyle w:val="BodyText"/>
        <w:rPr>
          <w:rFonts w:ascii="Cambria Math" w:hAnsi="Cambria Math"/>
          <w:oMath/>
        </w:rPr>
      </w:pPr>
      <m:oMathPara>
        <m:oMath>
          <m:r>
            <m:rPr>
              <m:sty m:val="p"/>
            </m:rPr>
            <w:rPr>
              <w:rFonts w:ascii="Cambria Math" w:hAnsi="Cambria Math"/>
            </w:rPr>
            <m:t>CNPlus = 1000 / (SPlus + 10)</m:t>
          </m:r>
        </m:oMath>
      </m:oMathPara>
    </w:p>
    <w:p w14:paraId="06114ECD" w14:textId="77777777" w:rsidR="00E40918" w:rsidRPr="004D0A69" w:rsidRDefault="00E40918" w:rsidP="00E40918">
      <w:pPr>
        <w:pStyle w:val="BodyText"/>
        <w:rPr>
          <w:rFonts w:ascii="Cambria Math" w:hAnsi="Cambria Math"/>
          <w:oMath/>
        </w:rPr>
      </w:pPr>
      <m:oMathPara>
        <m:oMath>
          <m:r>
            <m:rPr>
              <m:sty m:val="p"/>
            </m:rPr>
            <w:rPr>
              <w:rFonts w:ascii="Cambria Math" w:hAnsi="Cambria Math"/>
            </w:rPr>
            <w:lastRenderedPageBreak/>
            <m:t>CNMinus = 1000 / (SMinus + 10)</m:t>
          </m:r>
        </m:oMath>
      </m:oMathPara>
    </w:p>
    <w:p w14:paraId="20F5A456" w14:textId="6536B2DA" w:rsidR="00E40918" w:rsidRDefault="00E40918" w:rsidP="0034474B">
      <w:pPr>
        <w:pStyle w:val="BodyText"/>
      </w:pPr>
      <w:r w:rsidRPr="004D0A69">
        <w:t>Since the 1</w:t>
      </w:r>
      <w:r w:rsidR="005C72F6">
        <w:t>-percent</w:t>
      </w:r>
      <w:r w:rsidRPr="004D0A69">
        <w:t xml:space="preserve"> plus and minus events represent plus and minus one standard deviation of a 1</w:t>
      </w:r>
      <w:r w:rsidR="005C72F6">
        <w:t>-percent</w:t>
      </w:r>
      <w:r w:rsidRPr="004D0A69">
        <w:t xml:space="preserve"> event, CNs used in a rainfall-runoff simulation for modeling 1</w:t>
      </w:r>
      <w:r w:rsidR="005C72F6">
        <w:t>-percent</w:t>
      </w:r>
      <w:r w:rsidRPr="004D0A69">
        <w:t xml:space="preserve"> </w:t>
      </w:r>
      <w:r>
        <w:t>p</w:t>
      </w:r>
      <w:r w:rsidRPr="004D0A69">
        <w:t xml:space="preserve">lus and </w:t>
      </w:r>
      <w:r>
        <w:t>m</w:t>
      </w:r>
      <w:r w:rsidRPr="004D0A69">
        <w:t xml:space="preserve">inus events were developed, as described above. </w:t>
      </w:r>
      <w:r w:rsidR="006137EB">
        <w:t xml:space="preserve">A single basin was used in HEC-HMS for simulation to estimate excess precipitation. </w:t>
      </w:r>
    </w:p>
    <w:p w14:paraId="0AAE300B" w14:textId="1C2C64E0" w:rsidR="001F2D00" w:rsidRDefault="00B908E0" w:rsidP="0048315A">
      <w:pPr>
        <w:pStyle w:val="BodyText"/>
      </w:pPr>
      <w:r>
        <w:t xml:space="preserve">The table below shows the </w:t>
      </w:r>
      <w:r w:rsidR="002D637E">
        <w:t>CNs</w:t>
      </w:r>
      <w:r w:rsidR="00161A02" w:rsidRPr="00161A02">
        <w:t xml:space="preserve"> computed</w:t>
      </w:r>
      <w:r w:rsidR="00B80127">
        <w:t xml:space="preserve"> for the model</w:t>
      </w:r>
      <w:r w:rsidR="00161A02">
        <w:t>.</w:t>
      </w:r>
    </w:p>
    <w:p w14:paraId="5775BD55" w14:textId="3D0D6FBF" w:rsidR="00161A02" w:rsidRDefault="00161A02" w:rsidP="00B908E0">
      <w:pPr>
        <w:pStyle w:val="Caption"/>
        <w:jc w:val="center"/>
      </w:pPr>
      <w:bookmarkStart w:id="52" w:name="_Toc112244168"/>
      <w:r>
        <w:t xml:space="preserve">Table </w:t>
      </w:r>
      <w:r w:rsidR="0047146E">
        <w:fldChar w:fldCharType="begin"/>
      </w:r>
      <w:r w:rsidR="0047146E">
        <w:instrText xml:space="preserve"> SEQ Table \* ARABIC </w:instrText>
      </w:r>
      <w:r w:rsidR="0047146E">
        <w:fldChar w:fldCharType="separate"/>
      </w:r>
      <w:r w:rsidR="007D7CA7">
        <w:rPr>
          <w:noProof/>
        </w:rPr>
        <w:t>5</w:t>
      </w:r>
      <w:r w:rsidR="0047146E">
        <w:fldChar w:fldCharType="end"/>
      </w:r>
      <w:r>
        <w:t>: Rainfall-Runoff Curve Numbers</w:t>
      </w:r>
      <w:bookmarkEnd w:id="52"/>
    </w:p>
    <w:tbl>
      <w:tblPr>
        <w:tblStyle w:val="CompassTable"/>
        <w:tblW w:w="6470" w:type="dxa"/>
        <w:jc w:val="center"/>
        <w:tblLook w:val="04A0" w:firstRow="1" w:lastRow="0" w:firstColumn="1" w:lastColumn="0" w:noHBand="0" w:noVBand="1"/>
      </w:tblPr>
      <w:tblGrid>
        <w:gridCol w:w="2298"/>
        <w:gridCol w:w="1395"/>
        <w:gridCol w:w="1295"/>
        <w:gridCol w:w="1482"/>
      </w:tblGrid>
      <w:tr w:rsidR="00B80127" w:rsidRPr="00161A02" w14:paraId="1EC16C0B" w14:textId="77777777" w:rsidTr="00B80127">
        <w:trPr>
          <w:cnfStyle w:val="100000000000" w:firstRow="1" w:lastRow="0" w:firstColumn="0" w:lastColumn="0" w:oddVBand="0" w:evenVBand="0" w:oddHBand="0" w:evenHBand="0" w:firstRowFirstColumn="0" w:firstRowLastColumn="0" w:lastRowFirstColumn="0" w:lastRowLastColumn="0"/>
          <w:trHeight w:val="770"/>
          <w:jc w:val="center"/>
        </w:trPr>
        <w:tc>
          <w:tcPr>
            <w:tcW w:w="2298" w:type="dxa"/>
            <w:tcBorders>
              <w:bottom w:val="single" w:sz="4" w:space="0" w:color="3379BD"/>
            </w:tcBorders>
            <w:shd w:val="clear" w:color="auto" w:fill="00B5E2" w:themeFill="accent1"/>
            <w:hideMark/>
          </w:tcPr>
          <w:p w14:paraId="5AED4D94" w14:textId="77777777" w:rsidR="00B80127" w:rsidRPr="00161A02" w:rsidRDefault="00B80127" w:rsidP="00161A02">
            <w:pPr>
              <w:tabs>
                <w:tab w:val="clear" w:pos="284"/>
              </w:tabs>
              <w:spacing w:line="240" w:lineRule="auto"/>
              <w:jc w:val="center"/>
              <w:rPr>
                <w:rFonts w:eastAsia="Times New Roman" w:cs="Times New Roman"/>
                <w:bCs/>
                <w:kern w:val="0"/>
                <w:sz w:val="20"/>
                <w:szCs w:val="20"/>
              </w:rPr>
            </w:pPr>
            <w:r w:rsidRPr="00161A02">
              <w:rPr>
                <w:rFonts w:eastAsia="Times New Roman" w:cs="Times New Roman"/>
                <w:bCs/>
                <w:kern w:val="0"/>
                <w:sz w:val="20"/>
                <w:szCs w:val="20"/>
              </w:rPr>
              <w:t>Sub-basin Description</w:t>
            </w:r>
          </w:p>
        </w:tc>
        <w:tc>
          <w:tcPr>
            <w:tcW w:w="1395" w:type="dxa"/>
            <w:tcBorders>
              <w:bottom w:val="single" w:sz="4" w:space="0" w:color="3379BD"/>
            </w:tcBorders>
            <w:shd w:val="clear" w:color="auto" w:fill="00B5E2" w:themeFill="accent1"/>
          </w:tcPr>
          <w:p w14:paraId="5CC60F97" w14:textId="6DC65F94" w:rsidR="00B80127" w:rsidRPr="00161A02" w:rsidRDefault="00B80127" w:rsidP="00B80127">
            <w:pPr>
              <w:tabs>
                <w:tab w:val="clear" w:pos="284"/>
              </w:tabs>
              <w:spacing w:line="240" w:lineRule="auto"/>
              <w:jc w:val="center"/>
              <w:rPr>
                <w:rFonts w:eastAsia="Times New Roman" w:cs="Times New Roman"/>
                <w:kern w:val="0"/>
                <w:sz w:val="20"/>
                <w:szCs w:val="20"/>
              </w:rPr>
            </w:pPr>
            <w:r>
              <w:rPr>
                <w:rFonts w:eastAsia="Times New Roman" w:cs="Times New Roman"/>
                <w:kern w:val="0"/>
                <w:sz w:val="20"/>
                <w:szCs w:val="20"/>
              </w:rPr>
              <w:t xml:space="preserve">CN </w:t>
            </w:r>
          </w:p>
        </w:tc>
        <w:tc>
          <w:tcPr>
            <w:tcW w:w="1295" w:type="dxa"/>
            <w:tcBorders>
              <w:bottom w:val="single" w:sz="4" w:space="0" w:color="3379BD"/>
            </w:tcBorders>
            <w:shd w:val="clear" w:color="auto" w:fill="00B5E2" w:themeFill="accent1"/>
            <w:hideMark/>
          </w:tcPr>
          <w:p w14:paraId="7D652FB4" w14:textId="651B6DA5" w:rsidR="00B80127" w:rsidRPr="00161A02" w:rsidRDefault="00B80127" w:rsidP="005C72F6">
            <w:pPr>
              <w:tabs>
                <w:tab w:val="clear" w:pos="284"/>
              </w:tabs>
              <w:spacing w:line="240" w:lineRule="auto"/>
              <w:jc w:val="center"/>
              <w:rPr>
                <w:rFonts w:eastAsia="Times New Roman" w:cs="Times New Roman"/>
                <w:bCs/>
                <w:kern w:val="0"/>
                <w:sz w:val="20"/>
                <w:szCs w:val="20"/>
              </w:rPr>
            </w:pPr>
            <w:r w:rsidRPr="00161A02">
              <w:rPr>
                <w:rFonts w:eastAsia="Times New Roman" w:cs="Times New Roman"/>
                <w:bCs/>
                <w:kern w:val="0"/>
                <w:sz w:val="20"/>
                <w:szCs w:val="20"/>
              </w:rPr>
              <w:t>CN 1</w:t>
            </w:r>
            <w:r>
              <w:rPr>
                <w:rFonts w:eastAsia="Times New Roman" w:cs="Times New Roman"/>
                <w:bCs/>
                <w:kern w:val="0"/>
                <w:sz w:val="20"/>
                <w:szCs w:val="20"/>
              </w:rPr>
              <w:t>-percent</w:t>
            </w:r>
            <w:r w:rsidRPr="00161A02">
              <w:rPr>
                <w:rFonts w:eastAsia="Times New Roman" w:cs="Times New Roman"/>
                <w:bCs/>
                <w:kern w:val="0"/>
                <w:sz w:val="20"/>
                <w:szCs w:val="20"/>
              </w:rPr>
              <w:t xml:space="preserve"> Minus</w:t>
            </w:r>
          </w:p>
        </w:tc>
        <w:tc>
          <w:tcPr>
            <w:tcW w:w="1482" w:type="dxa"/>
            <w:tcBorders>
              <w:bottom w:val="single" w:sz="4" w:space="0" w:color="3379BD"/>
            </w:tcBorders>
            <w:shd w:val="clear" w:color="auto" w:fill="00B5E2" w:themeFill="accent1"/>
            <w:hideMark/>
          </w:tcPr>
          <w:p w14:paraId="2DE3FF2F" w14:textId="033FA854" w:rsidR="00B80127" w:rsidRPr="00161A02" w:rsidRDefault="00B80127" w:rsidP="005C72F6">
            <w:pPr>
              <w:tabs>
                <w:tab w:val="clear" w:pos="284"/>
              </w:tabs>
              <w:spacing w:line="240" w:lineRule="auto"/>
              <w:jc w:val="center"/>
              <w:rPr>
                <w:rFonts w:eastAsia="Times New Roman" w:cs="Times New Roman"/>
                <w:bCs/>
                <w:kern w:val="0"/>
                <w:sz w:val="20"/>
                <w:szCs w:val="20"/>
              </w:rPr>
            </w:pPr>
            <w:r w:rsidRPr="00161A02">
              <w:rPr>
                <w:rFonts w:eastAsia="Times New Roman" w:cs="Times New Roman"/>
                <w:bCs/>
                <w:kern w:val="0"/>
                <w:sz w:val="20"/>
                <w:szCs w:val="20"/>
              </w:rPr>
              <w:t>CN 1</w:t>
            </w:r>
            <w:r>
              <w:rPr>
                <w:rFonts w:eastAsia="Times New Roman" w:cs="Times New Roman"/>
                <w:bCs/>
                <w:kern w:val="0"/>
                <w:sz w:val="20"/>
                <w:szCs w:val="20"/>
              </w:rPr>
              <w:t>-percent</w:t>
            </w:r>
            <w:r w:rsidRPr="00161A02">
              <w:rPr>
                <w:rFonts w:eastAsia="Times New Roman" w:cs="Times New Roman"/>
                <w:bCs/>
                <w:kern w:val="0"/>
                <w:sz w:val="20"/>
                <w:szCs w:val="20"/>
              </w:rPr>
              <w:t xml:space="preserve"> Plus</w:t>
            </w:r>
          </w:p>
        </w:tc>
      </w:tr>
      <w:tr w:rsidR="00B80127" w:rsidRPr="00161A02" w14:paraId="28DE84D8" w14:textId="77777777" w:rsidTr="00B80127">
        <w:trPr>
          <w:cnfStyle w:val="000000100000" w:firstRow="0" w:lastRow="0" w:firstColumn="0" w:lastColumn="0" w:oddVBand="0" w:evenVBand="0" w:oddHBand="1" w:evenHBand="0" w:firstRowFirstColumn="0" w:firstRowLastColumn="0" w:lastRowFirstColumn="0" w:lastRowLastColumn="0"/>
          <w:trHeight w:val="311"/>
          <w:jc w:val="center"/>
        </w:trPr>
        <w:tc>
          <w:tcPr>
            <w:tcW w:w="2298" w:type="dxa"/>
            <w:shd w:val="clear" w:color="auto" w:fill="auto"/>
            <w:vAlign w:val="top"/>
          </w:tcPr>
          <w:p w14:paraId="7D5A9DC9" w14:textId="16369E8F" w:rsidR="00B80127" w:rsidRPr="00A85555" w:rsidRDefault="00B80127" w:rsidP="009B263D">
            <w:pPr>
              <w:tabs>
                <w:tab w:val="clear" w:pos="284"/>
              </w:tabs>
              <w:spacing w:line="240" w:lineRule="auto"/>
              <w:jc w:val="center"/>
              <w:rPr>
                <w:rFonts w:eastAsia="Times New Roman" w:cs="Times New Roman"/>
                <w:color w:val="auto"/>
                <w:kern w:val="0"/>
                <w:szCs w:val="20"/>
              </w:rPr>
            </w:pPr>
            <w:r w:rsidRPr="00A85555">
              <w:rPr>
                <w:color w:val="auto"/>
                <w:szCs w:val="20"/>
              </w:rPr>
              <w:t xml:space="preserve">Cowhouse </w:t>
            </w:r>
          </w:p>
        </w:tc>
        <w:tc>
          <w:tcPr>
            <w:tcW w:w="1395" w:type="dxa"/>
            <w:shd w:val="clear" w:color="auto" w:fill="auto"/>
            <w:vAlign w:val="top"/>
          </w:tcPr>
          <w:p w14:paraId="18642647" w14:textId="26985C39" w:rsidR="00B80127" w:rsidRPr="00A85555" w:rsidRDefault="00B80127" w:rsidP="00F05FD6">
            <w:pPr>
              <w:tabs>
                <w:tab w:val="clear" w:pos="284"/>
              </w:tabs>
              <w:spacing w:line="240" w:lineRule="auto"/>
              <w:jc w:val="center"/>
              <w:rPr>
                <w:rFonts w:eastAsia="Times New Roman" w:cs="Times New Roman"/>
                <w:color w:val="auto"/>
                <w:kern w:val="0"/>
                <w:szCs w:val="20"/>
              </w:rPr>
            </w:pPr>
            <w:r w:rsidRPr="00A85555">
              <w:rPr>
                <w:color w:val="auto"/>
                <w:szCs w:val="20"/>
              </w:rPr>
              <w:t>72.71</w:t>
            </w:r>
          </w:p>
        </w:tc>
        <w:tc>
          <w:tcPr>
            <w:tcW w:w="1295" w:type="dxa"/>
            <w:shd w:val="clear" w:color="auto" w:fill="auto"/>
            <w:vAlign w:val="top"/>
          </w:tcPr>
          <w:p w14:paraId="5A8D5557" w14:textId="100F56F8" w:rsidR="00B80127" w:rsidRPr="00A85555" w:rsidRDefault="00B80127" w:rsidP="00161A02">
            <w:pPr>
              <w:tabs>
                <w:tab w:val="clear" w:pos="284"/>
              </w:tabs>
              <w:spacing w:line="240" w:lineRule="auto"/>
              <w:jc w:val="center"/>
              <w:rPr>
                <w:rFonts w:eastAsia="Times New Roman" w:cs="Times New Roman"/>
                <w:color w:val="auto"/>
                <w:kern w:val="0"/>
                <w:szCs w:val="20"/>
              </w:rPr>
            </w:pPr>
            <w:r w:rsidRPr="00A85555">
              <w:rPr>
                <w:color w:val="auto"/>
                <w:szCs w:val="20"/>
              </w:rPr>
              <w:t>58.56</w:t>
            </w:r>
          </w:p>
        </w:tc>
        <w:tc>
          <w:tcPr>
            <w:tcW w:w="1482" w:type="dxa"/>
            <w:shd w:val="clear" w:color="auto" w:fill="auto"/>
            <w:vAlign w:val="top"/>
          </w:tcPr>
          <w:p w14:paraId="7B0FD154" w14:textId="7A15530A" w:rsidR="00B80127" w:rsidRPr="007123E3" w:rsidRDefault="00B80127" w:rsidP="00F05FD6">
            <w:pPr>
              <w:tabs>
                <w:tab w:val="clear" w:pos="284"/>
              </w:tabs>
              <w:spacing w:line="240" w:lineRule="auto"/>
              <w:jc w:val="center"/>
              <w:rPr>
                <w:rFonts w:eastAsia="Times New Roman" w:cs="Times New Roman"/>
                <w:color w:val="auto"/>
                <w:kern w:val="0"/>
                <w:szCs w:val="20"/>
              </w:rPr>
            </w:pPr>
            <w:r w:rsidRPr="00A85555">
              <w:rPr>
                <w:color w:val="auto"/>
                <w:szCs w:val="20"/>
              </w:rPr>
              <w:t>83.49</w:t>
            </w:r>
          </w:p>
        </w:tc>
      </w:tr>
    </w:tbl>
    <w:p w14:paraId="7B9B19B9" w14:textId="77777777" w:rsidR="00161A02" w:rsidRDefault="00161A02" w:rsidP="0048315A">
      <w:pPr>
        <w:pStyle w:val="BodyText"/>
      </w:pPr>
    </w:p>
    <w:p w14:paraId="0836C473" w14:textId="0620EAB7" w:rsidR="00146EA2" w:rsidRDefault="00146EA2" w:rsidP="00146EA2">
      <w:r w:rsidRPr="004D0A69">
        <w:t xml:space="preserve">NRCS rainfall-runoff methods were used to define excess precipitation applied to the 2D mesh, including </w:t>
      </w:r>
      <w:r w:rsidR="002D637E">
        <w:t>CN</w:t>
      </w:r>
      <w:r w:rsidRPr="004D0A69">
        <w:t xml:space="preserve">s </w:t>
      </w:r>
      <w:r w:rsidR="00A15879">
        <w:t>for defining rainfall losses</w:t>
      </w:r>
      <w:r w:rsidRPr="004D0A69">
        <w:t>.</w:t>
      </w:r>
      <w:r>
        <w:t xml:space="preserve"> </w:t>
      </w:r>
      <w:r w:rsidRPr="004D0A69">
        <w:t>No routing was considered in the rainfall-runoff modeling</w:t>
      </w:r>
      <w:r w:rsidRPr="0004147B">
        <w:t xml:space="preserve">. </w:t>
      </w:r>
      <w:r w:rsidR="006228F2" w:rsidRPr="0004147B">
        <w:t>Frequency-</w:t>
      </w:r>
      <w:r w:rsidR="00010C39" w:rsidRPr="0004147B">
        <w:t>based storm with 50% storm centering were used</w:t>
      </w:r>
      <w:r w:rsidR="00010C39">
        <w:t xml:space="preserve"> </w:t>
      </w:r>
      <w:r w:rsidRPr="0004147B">
        <w:t>for</w:t>
      </w:r>
      <w:r w:rsidRPr="00010C39">
        <w:rPr>
          <w:strike/>
        </w:rPr>
        <w:t xml:space="preserve"> </w:t>
      </w:r>
      <w:r w:rsidRPr="004D0A69">
        <w:t>defining temporal distributions of point rainfall totals.</w:t>
      </w:r>
      <w:r>
        <w:t xml:space="preserve"> </w:t>
      </w:r>
      <w:r>
        <w:fldChar w:fldCharType="begin"/>
      </w:r>
      <w:r>
        <w:instrText xml:space="preserve"> REF _Ref61506489 \h </w:instrText>
      </w:r>
      <w:r>
        <w:fldChar w:fldCharType="separate"/>
      </w:r>
      <w:r w:rsidR="007D7CA7">
        <w:t xml:space="preserve">Table </w:t>
      </w:r>
      <w:r w:rsidR="007D7CA7">
        <w:rPr>
          <w:noProof/>
        </w:rPr>
        <w:t>6</w:t>
      </w:r>
      <w:r>
        <w:fldChar w:fldCharType="end"/>
      </w:r>
      <w:r>
        <w:t xml:space="preserve"> </w:t>
      </w:r>
      <w:r w:rsidRPr="004D0A69">
        <w:t xml:space="preserve">provides the precipitation totals </w:t>
      </w:r>
      <w:r w:rsidR="006228F2">
        <w:t>applied to the m</w:t>
      </w:r>
      <w:r w:rsidR="003846EE">
        <w:t>odel including areal reduction</w:t>
      </w:r>
      <w:r w:rsidR="00495DD9">
        <w:t xml:space="preserve"> factor (ARF)</w:t>
      </w:r>
      <w:r w:rsidR="003846EE">
        <w:t>. These values were taken from the summary table under the results tab in the HMS 4.8 model.</w:t>
      </w:r>
    </w:p>
    <w:p w14:paraId="381B152B" w14:textId="77777777" w:rsidR="00146EA2" w:rsidRPr="004D0A69" w:rsidRDefault="00146EA2" w:rsidP="00146EA2"/>
    <w:p w14:paraId="0207DE9A" w14:textId="2338AEA7" w:rsidR="00161A02" w:rsidRDefault="00161A02" w:rsidP="00B908E0">
      <w:pPr>
        <w:pStyle w:val="Caption"/>
        <w:jc w:val="center"/>
      </w:pPr>
      <w:bookmarkStart w:id="53" w:name="_Ref61506489"/>
      <w:bookmarkStart w:id="54" w:name="_Toc112244169"/>
      <w:r>
        <w:t xml:space="preserve">Table </w:t>
      </w:r>
      <w:r w:rsidR="0047146E">
        <w:fldChar w:fldCharType="begin"/>
      </w:r>
      <w:r w:rsidR="0047146E">
        <w:instrText xml:space="preserve"> SEQ Table \* ARABIC </w:instrText>
      </w:r>
      <w:r w:rsidR="0047146E">
        <w:fldChar w:fldCharType="separate"/>
      </w:r>
      <w:r w:rsidR="007D7CA7">
        <w:rPr>
          <w:noProof/>
        </w:rPr>
        <w:t>6</w:t>
      </w:r>
      <w:r w:rsidR="0047146E">
        <w:fldChar w:fldCharType="end"/>
      </w:r>
      <w:bookmarkEnd w:id="53"/>
      <w:r>
        <w:t xml:space="preserve">: </w:t>
      </w:r>
      <w:r w:rsidR="00146EA2" w:rsidRPr="00146EA2">
        <w:t xml:space="preserve">Precipitation Totals </w:t>
      </w:r>
      <w:r w:rsidR="00681A1C">
        <w:t xml:space="preserve">estimated in </w:t>
      </w:r>
      <w:r w:rsidR="0004147B">
        <w:t>HEC-HMS</w:t>
      </w:r>
      <w:r w:rsidR="00681A1C">
        <w:t xml:space="preserve"> </w:t>
      </w:r>
      <w:r w:rsidR="00146EA2" w:rsidRPr="00146EA2">
        <w:t>(post ARF)</w:t>
      </w:r>
      <w:bookmarkEnd w:id="54"/>
    </w:p>
    <w:tbl>
      <w:tblPr>
        <w:tblStyle w:val="CompassTable"/>
        <w:tblW w:w="8539" w:type="dxa"/>
        <w:jc w:val="center"/>
        <w:tblLook w:val="04A0" w:firstRow="1" w:lastRow="0" w:firstColumn="1" w:lastColumn="0" w:noHBand="0" w:noVBand="1"/>
      </w:tblPr>
      <w:tblGrid>
        <w:gridCol w:w="2453"/>
        <w:gridCol w:w="857"/>
        <w:gridCol w:w="886"/>
        <w:gridCol w:w="857"/>
        <w:gridCol w:w="857"/>
        <w:gridCol w:w="857"/>
        <w:gridCol w:w="864"/>
        <w:gridCol w:w="901"/>
        <w:gridCol w:w="7"/>
      </w:tblGrid>
      <w:tr w:rsidR="00DE6E57" w:rsidRPr="00161A02" w14:paraId="50C7CDC0" w14:textId="77777777" w:rsidTr="005C72F6">
        <w:trPr>
          <w:gridAfter w:val="1"/>
          <w:cnfStyle w:val="100000000000" w:firstRow="1" w:lastRow="0" w:firstColumn="0" w:lastColumn="0" w:oddVBand="0" w:evenVBand="0" w:oddHBand="0" w:evenHBand="0" w:firstRowFirstColumn="0" w:firstRowLastColumn="0" w:lastRowFirstColumn="0" w:lastRowLastColumn="0"/>
          <w:wAfter w:w="7" w:type="dxa"/>
          <w:jc w:val="center"/>
        </w:trPr>
        <w:tc>
          <w:tcPr>
            <w:tcW w:w="8532" w:type="dxa"/>
            <w:gridSpan w:val="8"/>
            <w:shd w:val="clear" w:color="auto" w:fill="00B5E2" w:themeFill="accent1"/>
          </w:tcPr>
          <w:p w14:paraId="02F37478" w14:textId="77777777" w:rsidR="00DE6E57" w:rsidRDefault="00DE6E57" w:rsidP="00DE6E57">
            <w:pPr>
              <w:tabs>
                <w:tab w:val="clear" w:pos="284"/>
              </w:tabs>
              <w:spacing w:before="60" w:after="60" w:line="240" w:lineRule="auto"/>
              <w:jc w:val="center"/>
              <w:rPr>
                <w:rFonts w:eastAsia="Times New Roman" w:cs="Times New Roman"/>
                <w:kern w:val="0"/>
                <w:sz w:val="20"/>
                <w:szCs w:val="20"/>
              </w:rPr>
            </w:pPr>
            <w:r>
              <w:rPr>
                <w:rFonts w:eastAsia="Times New Roman" w:cs="Times New Roman"/>
                <w:kern w:val="0"/>
                <w:sz w:val="20"/>
                <w:szCs w:val="20"/>
              </w:rPr>
              <w:t>Percent Annual Chance Precipitation Depths (in.)</w:t>
            </w:r>
          </w:p>
        </w:tc>
      </w:tr>
      <w:tr w:rsidR="005C72F6" w:rsidRPr="00161A02" w14:paraId="642233DB" w14:textId="77777777" w:rsidTr="005C72F6">
        <w:trPr>
          <w:cnfStyle w:val="000000100000" w:firstRow="0" w:lastRow="0" w:firstColumn="0" w:lastColumn="0" w:oddVBand="0" w:evenVBand="0" w:oddHBand="1" w:evenHBand="0" w:firstRowFirstColumn="0" w:firstRowLastColumn="0" w:lastRowFirstColumn="0" w:lastRowLastColumn="0"/>
          <w:jc w:val="center"/>
        </w:trPr>
        <w:tc>
          <w:tcPr>
            <w:tcW w:w="2453" w:type="dxa"/>
            <w:shd w:val="clear" w:color="auto" w:fill="00B5E2" w:themeFill="accent1"/>
          </w:tcPr>
          <w:p w14:paraId="1C2D2B65" w14:textId="77777777" w:rsidR="0047146E" w:rsidRPr="000A3B6D" w:rsidRDefault="0047146E"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 xml:space="preserve">Sub-Basin Description </w:t>
            </w:r>
          </w:p>
        </w:tc>
        <w:tc>
          <w:tcPr>
            <w:tcW w:w="857" w:type="dxa"/>
            <w:shd w:val="clear" w:color="auto" w:fill="00B5E2" w:themeFill="accent1"/>
          </w:tcPr>
          <w:p w14:paraId="0BE67C10" w14:textId="189D0A8E" w:rsidR="0047146E" w:rsidRPr="000A3B6D" w:rsidRDefault="0047146E" w:rsidP="005C72F6">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1</w:t>
            </w:r>
            <w:r w:rsidR="005C72F6">
              <w:rPr>
                <w:rFonts w:eastAsia="Times New Roman" w:cs="Times New Roman"/>
                <w:b/>
                <w:color w:val="FFFFFF"/>
                <w:kern w:val="0"/>
                <w:szCs w:val="20"/>
              </w:rPr>
              <w:t>-percent</w:t>
            </w:r>
          </w:p>
        </w:tc>
        <w:tc>
          <w:tcPr>
            <w:tcW w:w="886" w:type="dxa"/>
            <w:shd w:val="clear" w:color="auto" w:fill="00B5E2" w:themeFill="accent1"/>
          </w:tcPr>
          <w:p w14:paraId="24323866" w14:textId="3AF964C1" w:rsidR="0047146E" w:rsidRPr="000A3B6D" w:rsidRDefault="0047146E"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0.2</w:t>
            </w:r>
            <w:r w:rsidR="005C72F6" w:rsidRPr="005C72F6">
              <w:rPr>
                <w:rFonts w:eastAsia="Times New Roman" w:cs="Times New Roman"/>
                <w:b/>
                <w:color w:val="FFFFFF"/>
                <w:kern w:val="0"/>
                <w:szCs w:val="20"/>
              </w:rPr>
              <w:t>-percent</w:t>
            </w:r>
          </w:p>
        </w:tc>
        <w:tc>
          <w:tcPr>
            <w:tcW w:w="857" w:type="dxa"/>
            <w:shd w:val="clear" w:color="auto" w:fill="00B5E2" w:themeFill="accent1"/>
          </w:tcPr>
          <w:p w14:paraId="35AA5894" w14:textId="32907639" w:rsidR="0047146E" w:rsidRPr="000A3B6D" w:rsidRDefault="0047146E"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2</w:t>
            </w:r>
            <w:r w:rsidR="005C72F6" w:rsidRPr="005C72F6">
              <w:rPr>
                <w:rFonts w:eastAsia="Times New Roman" w:cs="Times New Roman"/>
                <w:b/>
                <w:color w:val="FFFFFF"/>
                <w:kern w:val="0"/>
                <w:szCs w:val="20"/>
              </w:rPr>
              <w:t>-percent</w:t>
            </w:r>
          </w:p>
        </w:tc>
        <w:tc>
          <w:tcPr>
            <w:tcW w:w="857" w:type="dxa"/>
            <w:shd w:val="clear" w:color="auto" w:fill="00B5E2" w:themeFill="accent1"/>
          </w:tcPr>
          <w:p w14:paraId="6314F018" w14:textId="01587CE9" w:rsidR="0047146E" w:rsidRPr="000A3B6D" w:rsidRDefault="0047146E"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4</w:t>
            </w:r>
            <w:r w:rsidR="005C72F6" w:rsidRPr="005C72F6">
              <w:rPr>
                <w:rFonts w:eastAsia="Times New Roman" w:cs="Times New Roman"/>
                <w:b/>
                <w:color w:val="FFFFFF"/>
                <w:kern w:val="0"/>
                <w:szCs w:val="20"/>
              </w:rPr>
              <w:t>-percent</w:t>
            </w:r>
          </w:p>
        </w:tc>
        <w:tc>
          <w:tcPr>
            <w:tcW w:w="857" w:type="dxa"/>
            <w:shd w:val="clear" w:color="auto" w:fill="00B5E2" w:themeFill="accent1"/>
          </w:tcPr>
          <w:p w14:paraId="354BA9C0" w14:textId="70649520" w:rsidR="0047146E" w:rsidRPr="000A3B6D" w:rsidRDefault="0047146E"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10</w:t>
            </w:r>
            <w:r w:rsidR="005C72F6" w:rsidRPr="005C72F6">
              <w:rPr>
                <w:rFonts w:eastAsia="Times New Roman" w:cs="Times New Roman"/>
                <w:b/>
                <w:color w:val="FFFFFF"/>
                <w:kern w:val="0"/>
                <w:szCs w:val="20"/>
              </w:rPr>
              <w:t>-percent</w:t>
            </w:r>
          </w:p>
        </w:tc>
        <w:tc>
          <w:tcPr>
            <w:tcW w:w="864" w:type="dxa"/>
            <w:shd w:val="clear" w:color="auto" w:fill="00B5E2" w:themeFill="accent1"/>
          </w:tcPr>
          <w:p w14:paraId="32BC0D35" w14:textId="3F0D4637" w:rsidR="0047146E" w:rsidRPr="000A3B6D" w:rsidRDefault="0047146E"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1</w:t>
            </w:r>
            <w:r w:rsidR="005C72F6" w:rsidRPr="005C72F6">
              <w:rPr>
                <w:rFonts w:eastAsia="Times New Roman" w:cs="Times New Roman"/>
                <w:b/>
                <w:color w:val="FFFFFF"/>
                <w:kern w:val="0"/>
                <w:szCs w:val="20"/>
              </w:rPr>
              <w:t xml:space="preserve">-percent </w:t>
            </w:r>
            <w:r w:rsidRPr="000A3B6D">
              <w:rPr>
                <w:rFonts w:eastAsia="Times New Roman" w:cs="Times New Roman"/>
                <w:b/>
                <w:color w:val="FFFFFF"/>
                <w:kern w:val="0"/>
                <w:szCs w:val="20"/>
              </w:rPr>
              <w:t>Plus</w:t>
            </w:r>
          </w:p>
        </w:tc>
        <w:tc>
          <w:tcPr>
            <w:tcW w:w="908" w:type="dxa"/>
            <w:gridSpan w:val="2"/>
            <w:shd w:val="clear" w:color="auto" w:fill="00B5E2" w:themeFill="accent1"/>
          </w:tcPr>
          <w:p w14:paraId="735377A7" w14:textId="1C8D2D20" w:rsidR="0047146E" w:rsidRPr="000A3B6D" w:rsidRDefault="0047146E"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1</w:t>
            </w:r>
            <w:r w:rsidR="005C72F6" w:rsidRPr="005C72F6">
              <w:rPr>
                <w:rFonts w:eastAsia="Times New Roman" w:cs="Times New Roman"/>
                <w:b/>
                <w:color w:val="FFFFFF"/>
                <w:kern w:val="0"/>
                <w:szCs w:val="20"/>
              </w:rPr>
              <w:t>-percent</w:t>
            </w:r>
            <w:r w:rsidRPr="000A3B6D">
              <w:rPr>
                <w:rFonts w:eastAsia="Times New Roman" w:cs="Times New Roman"/>
                <w:b/>
                <w:color w:val="FFFFFF"/>
                <w:kern w:val="0"/>
                <w:szCs w:val="20"/>
              </w:rPr>
              <w:t xml:space="preserve"> Minus</w:t>
            </w:r>
          </w:p>
        </w:tc>
      </w:tr>
      <w:tr w:rsidR="005C72F6" w:rsidRPr="00161A02" w14:paraId="1B3B89AA" w14:textId="77777777" w:rsidTr="005C72F6">
        <w:trPr>
          <w:cnfStyle w:val="000000010000" w:firstRow="0" w:lastRow="0" w:firstColumn="0" w:lastColumn="0" w:oddVBand="0" w:evenVBand="0" w:oddHBand="0" w:evenHBand="1" w:firstRowFirstColumn="0" w:firstRowLastColumn="0" w:lastRowFirstColumn="0" w:lastRowLastColumn="0"/>
          <w:trHeight w:val="288"/>
          <w:jc w:val="center"/>
        </w:trPr>
        <w:tc>
          <w:tcPr>
            <w:tcW w:w="2453" w:type="dxa"/>
            <w:vAlign w:val="top"/>
          </w:tcPr>
          <w:p w14:paraId="0F2C51DF" w14:textId="7CD8419E" w:rsidR="002C0A89" w:rsidRPr="007123E3" w:rsidRDefault="00107EA5" w:rsidP="007E4BD6">
            <w:pPr>
              <w:tabs>
                <w:tab w:val="clear" w:pos="284"/>
              </w:tabs>
              <w:spacing w:before="20" w:after="20" w:line="240" w:lineRule="auto"/>
              <w:jc w:val="center"/>
              <w:rPr>
                <w:rFonts w:eastAsia="Times New Roman" w:cs="Times New Roman"/>
                <w:color w:val="auto"/>
                <w:kern w:val="0"/>
                <w:szCs w:val="20"/>
              </w:rPr>
            </w:pPr>
            <w:r>
              <w:rPr>
                <w:color w:val="auto"/>
              </w:rPr>
              <w:t>Cowhouse</w:t>
            </w:r>
          </w:p>
        </w:tc>
        <w:tc>
          <w:tcPr>
            <w:tcW w:w="857" w:type="dxa"/>
            <w:vAlign w:val="top"/>
          </w:tcPr>
          <w:p w14:paraId="324D8E69" w14:textId="77C6E0E6" w:rsidR="002C0A89" w:rsidRPr="007123E3" w:rsidRDefault="0099241A" w:rsidP="004974CE">
            <w:pPr>
              <w:tabs>
                <w:tab w:val="clear" w:pos="284"/>
              </w:tabs>
              <w:spacing w:before="40" w:after="20" w:line="240" w:lineRule="auto"/>
              <w:ind w:left="29" w:right="-43"/>
              <w:jc w:val="center"/>
              <w:rPr>
                <w:rFonts w:eastAsia="Calibri" w:cs="Times New Roman"/>
                <w:color w:val="auto"/>
                <w:kern w:val="0"/>
                <w:szCs w:val="20"/>
              </w:rPr>
            </w:pPr>
            <w:r>
              <w:rPr>
                <w:color w:val="auto"/>
              </w:rPr>
              <w:t>8.37</w:t>
            </w:r>
          </w:p>
        </w:tc>
        <w:tc>
          <w:tcPr>
            <w:tcW w:w="886" w:type="dxa"/>
            <w:vAlign w:val="top"/>
          </w:tcPr>
          <w:p w14:paraId="645D2709" w14:textId="04D1A813" w:rsidR="002C0A89" w:rsidRPr="007123E3" w:rsidRDefault="0099241A" w:rsidP="004974CE">
            <w:pPr>
              <w:tabs>
                <w:tab w:val="clear" w:pos="284"/>
              </w:tabs>
              <w:spacing w:before="40" w:after="20" w:line="240" w:lineRule="auto"/>
              <w:ind w:left="29" w:right="-43"/>
              <w:jc w:val="center"/>
              <w:rPr>
                <w:rFonts w:eastAsia="Calibri" w:cs="Times New Roman"/>
                <w:color w:val="auto"/>
                <w:kern w:val="0"/>
                <w:szCs w:val="20"/>
              </w:rPr>
            </w:pPr>
            <w:r>
              <w:rPr>
                <w:color w:val="auto"/>
              </w:rPr>
              <w:t>11.38</w:t>
            </w:r>
          </w:p>
        </w:tc>
        <w:tc>
          <w:tcPr>
            <w:tcW w:w="857" w:type="dxa"/>
            <w:vAlign w:val="top"/>
          </w:tcPr>
          <w:p w14:paraId="64AF7CC1" w14:textId="2A7B6466" w:rsidR="002C0A89" w:rsidRPr="007123E3" w:rsidRDefault="0099241A" w:rsidP="004974CE">
            <w:pPr>
              <w:tabs>
                <w:tab w:val="clear" w:pos="284"/>
              </w:tabs>
              <w:spacing w:before="40" w:after="20" w:line="240" w:lineRule="auto"/>
              <w:ind w:left="29" w:right="-43"/>
              <w:jc w:val="center"/>
              <w:rPr>
                <w:rFonts w:eastAsia="Calibri" w:cs="Times New Roman"/>
                <w:color w:val="auto"/>
                <w:kern w:val="0"/>
                <w:szCs w:val="20"/>
              </w:rPr>
            </w:pPr>
            <w:r>
              <w:rPr>
                <w:color w:val="auto"/>
              </w:rPr>
              <w:t>7.29</w:t>
            </w:r>
          </w:p>
        </w:tc>
        <w:tc>
          <w:tcPr>
            <w:tcW w:w="857" w:type="dxa"/>
            <w:vAlign w:val="top"/>
          </w:tcPr>
          <w:p w14:paraId="3B51D4F3" w14:textId="30FB02EF" w:rsidR="002C0A89" w:rsidRPr="007123E3" w:rsidRDefault="0099241A" w:rsidP="004974CE">
            <w:pPr>
              <w:tabs>
                <w:tab w:val="clear" w:pos="284"/>
              </w:tabs>
              <w:spacing w:before="40" w:after="20" w:line="240" w:lineRule="auto"/>
              <w:ind w:left="29" w:right="-43"/>
              <w:jc w:val="center"/>
              <w:rPr>
                <w:rFonts w:eastAsia="Calibri" w:cs="Times New Roman"/>
                <w:color w:val="auto"/>
                <w:kern w:val="0"/>
                <w:szCs w:val="20"/>
              </w:rPr>
            </w:pPr>
            <w:r>
              <w:rPr>
                <w:color w:val="auto"/>
              </w:rPr>
              <w:t>6.32</w:t>
            </w:r>
          </w:p>
        </w:tc>
        <w:tc>
          <w:tcPr>
            <w:tcW w:w="857" w:type="dxa"/>
            <w:vAlign w:val="top"/>
          </w:tcPr>
          <w:p w14:paraId="4D634A24" w14:textId="1C27B108" w:rsidR="002C0A89" w:rsidRPr="007123E3" w:rsidRDefault="0099241A" w:rsidP="004974CE">
            <w:pPr>
              <w:tabs>
                <w:tab w:val="clear" w:pos="284"/>
              </w:tabs>
              <w:spacing w:before="40" w:after="20" w:line="240" w:lineRule="auto"/>
              <w:ind w:left="29" w:right="-43"/>
              <w:jc w:val="center"/>
              <w:rPr>
                <w:rFonts w:eastAsia="Calibri" w:cs="Times New Roman"/>
                <w:color w:val="auto"/>
                <w:kern w:val="0"/>
                <w:szCs w:val="20"/>
              </w:rPr>
            </w:pPr>
            <w:r>
              <w:rPr>
                <w:color w:val="auto"/>
              </w:rPr>
              <w:t>5.1</w:t>
            </w:r>
          </w:p>
        </w:tc>
        <w:tc>
          <w:tcPr>
            <w:tcW w:w="864" w:type="dxa"/>
            <w:vAlign w:val="top"/>
          </w:tcPr>
          <w:p w14:paraId="75201513" w14:textId="76EF72D3" w:rsidR="002C0A89" w:rsidRPr="007123E3" w:rsidRDefault="0099241A" w:rsidP="004974CE">
            <w:pPr>
              <w:tabs>
                <w:tab w:val="clear" w:pos="284"/>
              </w:tabs>
              <w:spacing w:before="40" w:after="20" w:line="240" w:lineRule="auto"/>
              <w:ind w:left="29" w:right="-43"/>
              <w:jc w:val="center"/>
              <w:rPr>
                <w:rFonts w:eastAsia="Calibri" w:cs="Times New Roman"/>
                <w:color w:val="auto"/>
                <w:kern w:val="0"/>
                <w:szCs w:val="20"/>
              </w:rPr>
            </w:pPr>
            <w:r>
              <w:rPr>
                <w:color w:val="auto"/>
              </w:rPr>
              <w:t>10.05</w:t>
            </w:r>
          </w:p>
        </w:tc>
        <w:tc>
          <w:tcPr>
            <w:tcW w:w="908" w:type="dxa"/>
            <w:gridSpan w:val="2"/>
            <w:vAlign w:val="top"/>
          </w:tcPr>
          <w:p w14:paraId="6AD57D79" w14:textId="5CE1AA20" w:rsidR="002C0A89" w:rsidRPr="007123E3" w:rsidRDefault="003846EE" w:rsidP="004974CE">
            <w:pPr>
              <w:tabs>
                <w:tab w:val="clear" w:pos="284"/>
              </w:tabs>
              <w:spacing w:before="40" w:after="20" w:line="240" w:lineRule="auto"/>
              <w:ind w:left="29" w:right="-43"/>
              <w:jc w:val="center"/>
              <w:rPr>
                <w:rFonts w:eastAsia="Calibri" w:cs="Times New Roman"/>
                <w:color w:val="auto"/>
                <w:kern w:val="0"/>
                <w:szCs w:val="20"/>
              </w:rPr>
            </w:pPr>
            <w:r>
              <w:rPr>
                <w:color w:val="auto"/>
              </w:rPr>
              <w:t>6.7</w:t>
            </w:r>
          </w:p>
        </w:tc>
      </w:tr>
    </w:tbl>
    <w:p w14:paraId="50CBF46F" w14:textId="3B6D22F0" w:rsidR="00FC2A97" w:rsidRDefault="005C72F6" w:rsidP="0048315A">
      <w:pPr>
        <w:pStyle w:val="BodyText"/>
      </w:pPr>
      <w:r>
        <w:br/>
      </w:r>
      <w:r w:rsidR="00B36576">
        <w:fldChar w:fldCharType="begin"/>
      </w:r>
      <w:r w:rsidR="00B36576">
        <w:instrText xml:space="preserve"> REF _Ref61261277 \h </w:instrText>
      </w:r>
      <w:r w:rsidR="00B36576">
        <w:fldChar w:fldCharType="separate"/>
      </w:r>
      <w:r w:rsidR="007D7CA7">
        <w:t xml:space="preserve">Table </w:t>
      </w:r>
      <w:r w:rsidR="007D7CA7">
        <w:rPr>
          <w:noProof/>
        </w:rPr>
        <w:t>7</w:t>
      </w:r>
      <w:r w:rsidR="00B36576">
        <w:fldChar w:fldCharType="end"/>
      </w:r>
      <w:r w:rsidR="00B36576">
        <w:t xml:space="preserve"> </w:t>
      </w:r>
      <w:r w:rsidR="00AC5D58">
        <w:t xml:space="preserve">shows the excess precipitation totals determined from the HMS model. These values are a factor of the average </w:t>
      </w:r>
      <w:r w:rsidR="002D637E">
        <w:t>CN</w:t>
      </w:r>
      <w:r w:rsidR="00AC5D58">
        <w:t xml:space="preserve"> and precipitation depths for each model area.</w:t>
      </w:r>
      <w:r w:rsidR="007B1C91" w:rsidRPr="007B1C91">
        <w:t xml:space="preserve"> </w:t>
      </w:r>
      <w:r w:rsidR="007B1C91">
        <w:t>These values were taken from the summary table under the results tab in the HMS 4.8 model.</w:t>
      </w:r>
    </w:p>
    <w:p w14:paraId="2E2A213D" w14:textId="7B9320B6" w:rsidR="0047146E" w:rsidRDefault="0047146E" w:rsidP="000A3B6D">
      <w:pPr>
        <w:pStyle w:val="Caption"/>
        <w:jc w:val="center"/>
      </w:pPr>
      <w:bookmarkStart w:id="55" w:name="_Ref61261277"/>
      <w:bookmarkStart w:id="56" w:name="_Toc112244170"/>
      <w:r>
        <w:t xml:space="preserve">Table </w:t>
      </w:r>
      <w:r>
        <w:fldChar w:fldCharType="begin"/>
      </w:r>
      <w:r>
        <w:instrText xml:space="preserve"> SEQ Table \* ARABIC </w:instrText>
      </w:r>
      <w:r>
        <w:fldChar w:fldCharType="separate"/>
      </w:r>
      <w:r w:rsidR="007D7CA7">
        <w:rPr>
          <w:noProof/>
        </w:rPr>
        <w:t>7</w:t>
      </w:r>
      <w:r>
        <w:fldChar w:fldCharType="end"/>
      </w:r>
      <w:bookmarkEnd w:id="55"/>
      <w:r>
        <w:t>: Total Excess Precipitation Applied to 2D Mesh</w:t>
      </w:r>
      <w:bookmarkEnd w:id="56"/>
    </w:p>
    <w:tbl>
      <w:tblPr>
        <w:tblStyle w:val="CompassTable"/>
        <w:tblW w:w="9602" w:type="dxa"/>
        <w:jc w:val="center"/>
        <w:tblLook w:val="04A0" w:firstRow="1" w:lastRow="0" w:firstColumn="1" w:lastColumn="0" w:noHBand="0" w:noVBand="1"/>
      </w:tblPr>
      <w:tblGrid>
        <w:gridCol w:w="2821"/>
        <w:gridCol w:w="900"/>
        <w:gridCol w:w="995"/>
        <w:gridCol w:w="990"/>
        <w:gridCol w:w="990"/>
        <w:gridCol w:w="990"/>
        <w:gridCol w:w="900"/>
        <w:gridCol w:w="1016"/>
      </w:tblGrid>
      <w:tr w:rsidR="0047146E" w:rsidRPr="00161A02" w14:paraId="2B2F8334" w14:textId="77777777" w:rsidTr="002C0A89">
        <w:trPr>
          <w:cnfStyle w:val="100000000000" w:firstRow="1" w:lastRow="0" w:firstColumn="0" w:lastColumn="0" w:oddVBand="0" w:evenVBand="0" w:oddHBand="0" w:evenHBand="0" w:firstRowFirstColumn="0" w:firstRowLastColumn="0" w:lastRowFirstColumn="0" w:lastRowLastColumn="0"/>
          <w:jc w:val="center"/>
        </w:trPr>
        <w:tc>
          <w:tcPr>
            <w:tcW w:w="9602" w:type="dxa"/>
            <w:gridSpan w:val="8"/>
            <w:shd w:val="clear" w:color="auto" w:fill="00B5E2" w:themeFill="accent1"/>
          </w:tcPr>
          <w:p w14:paraId="2149E6FF" w14:textId="77777777" w:rsidR="0047146E" w:rsidRDefault="0047146E" w:rsidP="00CA2514">
            <w:pPr>
              <w:tabs>
                <w:tab w:val="clear" w:pos="284"/>
              </w:tabs>
              <w:spacing w:before="60" w:after="60" w:line="240" w:lineRule="auto"/>
              <w:jc w:val="center"/>
              <w:rPr>
                <w:rFonts w:eastAsia="Times New Roman" w:cs="Times New Roman"/>
                <w:kern w:val="0"/>
                <w:sz w:val="20"/>
                <w:szCs w:val="20"/>
              </w:rPr>
            </w:pPr>
            <w:r>
              <w:rPr>
                <w:rFonts w:eastAsia="Times New Roman" w:cs="Times New Roman"/>
                <w:kern w:val="0"/>
                <w:sz w:val="20"/>
                <w:szCs w:val="20"/>
              </w:rPr>
              <w:t>Percent Annual Chance Precipitation Depths (in.)</w:t>
            </w:r>
          </w:p>
        </w:tc>
      </w:tr>
      <w:tr w:rsidR="005C72F6" w:rsidRPr="00FB0559" w14:paraId="62AE6932" w14:textId="77777777" w:rsidTr="005C72F6">
        <w:trPr>
          <w:cnfStyle w:val="000000100000" w:firstRow="0" w:lastRow="0" w:firstColumn="0" w:lastColumn="0" w:oddVBand="0" w:evenVBand="0" w:oddHBand="1" w:evenHBand="0" w:firstRowFirstColumn="0" w:firstRowLastColumn="0" w:lastRowFirstColumn="0" w:lastRowLastColumn="0"/>
          <w:jc w:val="center"/>
        </w:trPr>
        <w:tc>
          <w:tcPr>
            <w:tcW w:w="2821" w:type="dxa"/>
            <w:shd w:val="clear" w:color="auto" w:fill="00B5E2" w:themeFill="accent1"/>
          </w:tcPr>
          <w:p w14:paraId="58C92F11" w14:textId="77777777" w:rsidR="005C72F6" w:rsidRPr="000A3B6D" w:rsidRDefault="005C72F6"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themeColor="background2"/>
                <w:kern w:val="0"/>
                <w:szCs w:val="20"/>
              </w:rPr>
              <w:t xml:space="preserve">Sub-Basin Description </w:t>
            </w:r>
          </w:p>
        </w:tc>
        <w:tc>
          <w:tcPr>
            <w:tcW w:w="900" w:type="dxa"/>
            <w:shd w:val="clear" w:color="auto" w:fill="00B5E2" w:themeFill="accent1"/>
          </w:tcPr>
          <w:p w14:paraId="391F7C76" w14:textId="1E52A87C" w:rsidR="005C72F6" w:rsidRPr="000A3B6D" w:rsidRDefault="005C72F6"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1</w:t>
            </w:r>
            <w:r>
              <w:rPr>
                <w:rFonts w:eastAsia="Times New Roman" w:cs="Times New Roman"/>
                <w:b/>
                <w:color w:val="FFFFFF"/>
                <w:kern w:val="0"/>
                <w:szCs w:val="20"/>
              </w:rPr>
              <w:t>-percent</w:t>
            </w:r>
          </w:p>
        </w:tc>
        <w:tc>
          <w:tcPr>
            <w:tcW w:w="995" w:type="dxa"/>
            <w:shd w:val="clear" w:color="auto" w:fill="00B5E2" w:themeFill="accent1"/>
          </w:tcPr>
          <w:p w14:paraId="07F69A2E" w14:textId="4A4F317E" w:rsidR="005C72F6" w:rsidRPr="000A3B6D" w:rsidRDefault="005C72F6"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0.2</w:t>
            </w:r>
            <w:r w:rsidRPr="005C72F6">
              <w:rPr>
                <w:rFonts w:eastAsia="Times New Roman" w:cs="Times New Roman"/>
                <w:b/>
                <w:color w:val="FFFFFF"/>
                <w:kern w:val="0"/>
                <w:szCs w:val="20"/>
              </w:rPr>
              <w:t>-percent</w:t>
            </w:r>
          </w:p>
        </w:tc>
        <w:tc>
          <w:tcPr>
            <w:tcW w:w="990" w:type="dxa"/>
            <w:shd w:val="clear" w:color="auto" w:fill="00B5E2" w:themeFill="accent1"/>
          </w:tcPr>
          <w:p w14:paraId="1A858BFD" w14:textId="0BECC802" w:rsidR="005C72F6" w:rsidRPr="000A3B6D" w:rsidRDefault="005C72F6"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2</w:t>
            </w:r>
            <w:r w:rsidRPr="005C72F6">
              <w:rPr>
                <w:rFonts w:eastAsia="Times New Roman" w:cs="Times New Roman"/>
                <w:b/>
                <w:color w:val="FFFFFF"/>
                <w:kern w:val="0"/>
                <w:szCs w:val="20"/>
              </w:rPr>
              <w:t>-percent</w:t>
            </w:r>
          </w:p>
        </w:tc>
        <w:tc>
          <w:tcPr>
            <w:tcW w:w="990" w:type="dxa"/>
            <w:shd w:val="clear" w:color="auto" w:fill="00B5E2" w:themeFill="accent1"/>
          </w:tcPr>
          <w:p w14:paraId="10582202" w14:textId="44136565" w:rsidR="005C72F6" w:rsidRPr="000A3B6D" w:rsidRDefault="005C72F6"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4</w:t>
            </w:r>
            <w:r w:rsidRPr="005C72F6">
              <w:rPr>
                <w:rFonts w:eastAsia="Times New Roman" w:cs="Times New Roman"/>
                <w:b/>
                <w:color w:val="FFFFFF"/>
                <w:kern w:val="0"/>
                <w:szCs w:val="20"/>
              </w:rPr>
              <w:t>-percent</w:t>
            </w:r>
          </w:p>
        </w:tc>
        <w:tc>
          <w:tcPr>
            <w:tcW w:w="990" w:type="dxa"/>
            <w:shd w:val="clear" w:color="auto" w:fill="00B5E2" w:themeFill="accent1"/>
          </w:tcPr>
          <w:p w14:paraId="201D69F1" w14:textId="3C11A57C" w:rsidR="005C72F6" w:rsidRPr="000A3B6D" w:rsidRDefault="005C72F6"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10</w:t>
            </w:r>
            <w:r w:rsidRPr="005C72F6">
              <w:rPr>
                <w:rFonts w:eastAsia="Times New Roman" w:cs="Times New Roman"/>
                <w:b/>
                <w:color w:val="FFFFFF"/>
                <w:kern w:val="0"/>
                <w:szCs w:val="20"/>
              </w:rPr>
              <w:t>-percent</w:t>
            </w:r>
          </w:p>
        </w:tc>
        <w:tc>
          <w:tcPr>
            <w:tcW w:w="900" w:type="dxa"/>
            <w:shd w:val="clear" w:color="auto" w:fill="00B5E2" w:themeFill="accent1"/>
          </w:tcPr>
          <w:p w14:paraId="2375F368" w14:textId="68C7D998" w:rsidR="005C72F6" w:rsidRPr="000A3B6D" w:rsidRDefault="005C72F6"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1</w:t>
            </w:r>
            <w:r w:rsidRPr="005C72F6">
              <w:rPr>
                <w:rFonts w:eastAsia="Times New Roman" w:cs="Times New Roman"/>
                <w:b/>
                <w:color w:val="FFFFFF"/>
                <w:kern w:val="0"/>
                <w:szCs w:val="20"/>
              </w:rPr>
              <w:t xml:space="preserve">-percent </w:t>
            </w:r>
            <w:r w:rsidRPr="000A3B6D">
              <w:rPr>
                <w:rFonts w:eastAsia="Times New Roman" w:cs="Times New Roman"/>
                <w:b/>
                <w:color w:val="FFFFFF"/>
                <w:kern w:val="0"/>
                <w:szCs w:val="20"/>
              </w:rPr>
              <w:t>Plus</w:t>
            </w:r>
          </w:p>
        </w:tc>
        <w:tc>
          <w:tcPr>
            <w:tcW w:w="1016" w:type="dxa"/>
            <w:shd w:val="clear" w:color="auto" w:fill="00B5E2" w:themeFill="accent1"/>
          </w:tcPr>
          <w:p w14:paraId="7F07A0BD" w14:textId="7D7CD023" w:rsidR="005C72F6" w:rsidRPr="000A3B6D" w:rsidRDefault="005C72F6"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1</w:t>
            </w:r>
            <w:r w:rsidRPr="005C72F6">
              <w:rPr>
                <w:rFonts w:eastAsia="Times New Roman" w:cs="Times New Roman"/>
                <w:b/>
                <w:color w:val="FFFFFF"/>
                <w:kern w:val="0"/>
                <w:szCs w:val="20"/>
              </w:rPr>
              <w:t>-percent</w:t>
            </w:r>
            <w:r w:rsidRPr="000A3B6D">
              <w:rPr>
                <w:rFonts w:eastAsia="Times New Roman" w:cs="Times New Roman"/>
                <w:b/>
                <w:color w:val="FFFFFF"/>
                <w:kern w:val="0"/>
                <w:szCs w:val="20"/>
              </w:rPr>
              <w:t xml:space="preserve"> Minus</w:t>
            </w:r>
          </w:p>
        </w:tc>
      </w:tr>
      <w:tr w:rsidR="002C0A89" w:rsidRPr="00161A02" w14:paraId="5AB664DA" w14:textId="77777777" w:rsidTr="005C72F6">
        <w:trPr>
          <w:cnfStyle w:val="000000010000" w:firstRow="0" w:lastRow="0" w:firstColumn="0" w:lastColumn="0" w:oddVBand="0" w:evenVBand="0" w:oddHBand="0" w:evenHBand="1" w:firstRowFirstColumn="0" w:firstRowLastColumn="0" w:lastRowFirstColumn="0" w:lastRowLastColumn="0"/>
          <w:trHeight w:val="288"/>
          <w:jc w:val="center"/>
        </w:trPr>
        <w:tc>
          <w:tcPr>
            <w:tcW w:w="2821" w:type="dxa"/>
            <w:vAlign w:val="top"/>
          </w:tcPr>
          <w:p w14:paraId="58068ACA" w14:textId="71DD6D6D" w:rsidR="002C0A89" w:rsidRPr="007123E3" w:rsidRDefault="003846EE" w:rsidP="009B263D">
            <w:pPr>
              <w:tabs>
                <w:tab w:val="clear" w:pos="284"/>
              </w:tabs>
              <w:spacing w:before="20" w:after="20" w:line="240" w:lineRule="auto"/>
              <w:jc w:val="center"/>
              <w:rPr>
                <w:rFonts w:eastAsia="Times New Roman" w:cs="Times New Roman"/>
                <w:color w:val="auto"/>
                <w:kern w:val="0"/>
                <w:szCs w:val="20"/>
              </w:rPr>
            </w:pPr>
            <w:r>
              <w:rPr>
                <w:color w:val="auto"/>
              </w:rPr>
              <w:t>Cowhouse</w:t>
            </w:r>
            <w:r w:rsidR="002C0A89">
              <w:rPr>
                <w:color w:val="auto"/>
              </w:rPr>
              <w:t xml:space="preserve"> </w:t>
            </w:r>
          </w:p>
        </w:tc>
        <w:tc>
          <w:tcPr>
            <w:tcW w:w="900" w:type="dxa"/>
            <w:vAlign w:val="top"/>
          </w:tcPr>
          <w:p w14:paraId="0E07493E" w14:textId="48B8003D" w:rsidR="002C0A89" w:rsidRPr="007123E3" w:rsidRDefault="007B1C91" w:rsidP="004974CE">
            <w:pPr>
              <w:tabs>
                <w:tab w:val="clear" w:pos="284"/>
              </w:tabs>
              <w:spacing w:before="40" w:after="20" w:line="240" w:lineRule="auto"/>
              <w:ind w:left="29" w:right="-43"/>
              <w:jc w:val="center"/>
              <w:rPr>
                <w:rFonts w:eastAsia="Calibri" w:cs="Times New Roman"/>
                <w:color w:val="auto"/>
                <w:kern w:val="0"/>
                <w:szCs w:val="20"/>
              </w:rPr>
            </w:pPr>
            <w:r>
              <w:rPr>
                <w:color w:val="auto"/>
              </w:rPr>
              <w:t>5.11</w:t>
            </w:r>
          </w:p>
        </w:tc>
        <w:tc>
          <w:tcPr>
            <w:tcW w:w="995" w:type="dxa"/>
            <w:vAlign w:val="top"/>
          </w:tcPr>
          <w:p w14:paraId="48918B8A" w14:textId="26A352C2" w:rsidR="002C0A89" w:rsidRPr="007123E3" w:rsidRDefault="007B1C91" w:rsidP="004974CE">
            <w:pPr>
              <w:tabs>
                <w:tab w:val="clear" w:pos="284"/>
              </w:tabs>
              <w:spacing w:before="40" w:after="20" w:line="240" w:lineRule="auto"/>
              <w:ind w:left="29" w:right="-43"/>
              <w:jc w:val="center"/>
              <w:rPr>
                <w:rFonts w:eastAsia="Calibri" w:cs="Times New Roman"/>
                <w:color w:val="auto"/>
                <w:kern w:val="0"/>
                <w:szCs w:val="20"/>
              </w:rPr>
            </w:pPr>
            <w:r>
              <w:rPr>
                <w:color w:val="auto"/>
              </w:rPr>
              <w:t>7.85</w:t>
            </w:r>
          </w:p>
        </w:tc>
        <w:tc>
          <w:tcPr>
            <w:tcW w:w="990" w:type="dxa"/>
            <w:vAlign w:val="top"/>
          </w:tcPr>
          <w:p w14:paraId="12A319EF" w14:textId="4997194E" w:rsidR="002C0A89" w:rsidRPr="007123E3" w:rsidRDefault="007B1C91" w:rsidP="004974CE">
            <w:pPr>
              <w:tabs>
                <w:tab w:val="clear" w:pos="284"/>
              </w:tabs>
              <w:spacing w:before="40" w:after="20" w:line="240" w:lineRule="auto"/>
              <w:ind w:left="29" w:right="-43"/>
              <w:jc w:val="center"/>
              <w:rPr>
                <w:rFonts w:eastAsia="Calibri" w:cs="Times New Roman"/>
                <w:color w:val="auto"/>
                <w:kern w:val="0"/>
                <w:szCs w:val="20"/>
              </w:rPr>
            </w:pPr>
            <w:r>
              <w:rPr>
                <w:color w:val="auto"/>
              </w:rPr>
              <w:t>4.15</w:t>
            </w:r>
          </w:p>
        </w:tc>
        <w:tc>
          <w:tcPr>
            <w:tcW w:w="990" w:type="dxa"/>
            <w:vAlign w:val="top"/>
          </w:tcPr>
          <w:p w14:paraId="16268F6A" w14:textId="14660974" w:rsidR="002C0A89" w:rsidRPr="007123E3" w:rsidRDefault="002C0A89" w:rsidP="007B1C91">
            <w:pPr>
              <w:tabs>
                <w:tab w:val="clear" w:pos="284"/>
              </w:tabs>
              <w:spacing w:before="40" w:after="20" w:line="240" w:lineRule="auto"/>
              <w:ind w:left="29" w:right="-43"/>
              <w:jc w:val="center"/>
              <w:rPr>
                <w:rFonts w:eastAsia="Calibri" w:cs="Times New Roman"/>
                <w:color w:val="auto"/>
                <w:kern w:val="0"/>
                <w:szCs w:val="20"/>
              </w:rPr>
            </w:pPr>
            <w:r w:rsidRPr="008C1654">
              <w:rPr>
                <w:color w:val="auto"/>
              </w:rPr>
              <w:t>3.</w:t>
            </w:r>
            <w:r w:rsidR="007B1C91">
              <w:rPr>
                <w:color w:val="auto"/>
              </w:rPr>
              <w:t>32</w:t>
            </w:r>
          </w:p>
        </w:tc>
        <w:tc>
          <w:tcPr>
            <w:tcW w:w="990" w:type="dxa"/>
            <w:vAlign w:val="top"/>
          </w:tcPr>
          <w:p w14:paraId="605881B7" w14:textId="7C2BAE7B" w:rsidR="002C0A89" w:rsidRPr="007123E3" w:rsidRDefault="002C0A89" w:rsidP="007B1C91">
            <w:pPr>
              <w:tabs>
                <w:tab w:val="clear" w:pos="284"/>
              </w:tabs>
              <w:spacing w:before="40" w:after="20" w:line="240" w:lineRule="auto"/>
              <w:ind w:left="29" w:right="-43"/>
              <w:jc w:val="center"/>
              <w:rPr>
                <w:rFonts w:eastAsia="Calibri" w:cs="Times New Roman"/>
                <w:color w:val="auto"/>
                <w:kern w:val="0"/>
                <w:szCs w:val="20"/>
              </w:rPr>
            </w:pPr>
            <w:r w:rsidRPr="008C1654">
              <w:rPr>
                <w:color w:val="auto"/>
              </w:rPr>
              <w:t>2.3</w:t>
            </w:r>
            <w:r w:rsidR="007B1C91">
              <w:rPr>
                <w:color w:val="auto"/>
              </w:rPr>
              <w:t>3</w:t>
            </w:r>
          </w:p>
        </w:tc>
        <w:tc>
          <w:tcPr>
            <w:tcW w:w="900" w:type="dxa"/>
            <w:vAlign w:val="top"/>
          </w:tcPr>
          <w:p w14:paraId="3E7529C4" w14:textId="2EC3B4D1" w:rsidR="002C0A89" w:rsidRPr="007123E3" w:rsidRDefault="007B1C91" w:rsidP="004974CE">
            <w:pPr>
              <w:tabs>
                <w:tab w:val="clear" w:pos="284"/>
              </w:tabs>
              <w:spacing w:before="40" w:after="20" w:line="240" w:lineRule="auto"/>
              <w:ind w:left="29" w:right="-43"/>
              <w:jc w:val="center"/>
              <w:rPr>
                <w:rFonts w:eastAsia="Calibri" w:cs="Times New Roman"/>
                <w:color w:val="auto"/>
                <w:kern w:val="0"/>
                <w:szCs w:val="20"/>
              </w:rPr>
            </w:pPr>
            <w:r>
              <w:rPr>
                <w:color w:val="auto"/>
              </w:rPr>
              <w:t>8.01</w:t>
            </w:r>
          </w:p>
        </w:tc>
        <w:tc>
          <w:tcPr>
            <w:tcW w:w="1016" w:type="dxa"/>
            <w:vAlign w:val="top"/>
          </w:tcPr>
          <w:p w14:paraId="2FD00757" w14:textId="0804854D" w:rsidR="002C0A89" w:rsidRPr="007123E3" w:rsidRDefault="002C0A89" w:rsidP="007B1C91">
            <w:pPr>
              <w:tabs>
                <w:tab w:val="clear" w:pos="284"/>
              </w:tabs>
              <w:spacing w:before="40" w:after="20" w:line="240" w:lineRule="auto"/>
              <w:ind w:left="29" w:right="-43"/>
              <w:jc w:val="center"/>
              <w:rPr>
                <w:rFonts w:eastAsia="Calibri" w:cs="Times New Roman"/>
                <w:color w:val="auto"/>
                <w:kern w:val="0"/>
                <w:szCs w:val="20"/>
              </w:rPr>
            </w:pPr>
            <w:r w:rsidRPr="008C1654">
              <w:rPr>
                <w:color w:val="auto"/>
              </w:rPr>
              <w:t>2.</w:t>
            </w:r>
            <w:r w:rsidR="007B1C91">
              <w:rPr>
                <w:color w:val="auto"/>
              </w:rPr>
              <w:t>26</w:t>
            </w:r>
          </w:p>
        </w:tc>
      </w:tr>
    </w:tbl>
    <w:p w14:paraId="2247EDA4" w14:textId="77777777" w:rsidR="00DF6DD6" w:rsidRDefault="00DF6DD6" w:rsidP="0048315A">
      <w:pPr>
        <w:pStyle w:val="BodyText"/>
      </w:pPr>
    </w:p>
    <w:p w14:paraId="3C747C61" w14:textId="2A2519A3" w:rsidR="00AC5D58" w:rsidRDefault="000E4A9C" w:rsidP="0048315A">
      <w:pPr>
        <w:pStyle w:val="BodyText"/>
      </w:pPr>
      <w:r>
        <w:fldChar w:fldCharType="begin"/>
      </w:r>
      <w:r>
        <w:instrText xml:space="preserve"> REF _Ref80284395 \h </w:instrText>
      </w:r>
      <w:r>
        <w:fldChar w:fldCharType="separate"/>
      </w:r>
      <w:r w:rsidR="007D7CA7">
        <w:t xml:space="preserve">Figure </w:t>
      </w:r>
      <w:r w:rsidR="007D7CA7">
        <w:rPr>
          <w:noProof/>
        </w:rPr>
        <w:t>4</w:t>
      </w:r>
      <w:r>
        <w:fldChar w:fldCharType="end"/>
      </w:r>
      <w:r>
        <w:t xml:space="preserve"> </w:t>
      </w:r>
      <w:r w:rsidR="00EA309F">
        <w:t xml:space="preserve">shows </w:t>
      </w:r>
      <w:r w:rsidR="00B36576">
        <w:t xml:space="preserve">the </w:t>
      </w:r>
      <w:r w:rsidR="00EA309F">
        <w:t>excess p</w:t>
      </w:r>
      <w:r w:rsidR="00DF6DD6">
        <w:t>recipita</w:t>
      </w:r>
      <w:r w:rsidR="00EA309F">
        <w:t>t</w:t>
      </w:r>
      <w:r w:rsidR="00DF6DD6">
        <w:t xml:space="preserve">ion hyetograph </w:t>
      </w:r>
      <w:r w:rsidR="00DF6DD6" w:rsidRPr="007123E3">
        <w:t>for</w:t>
      </w:r>
      <w:r w:rsidR="00B80127">
        <w:t xml:space="preserve"> the</w:t>
      </w:r>
      <w:r w:rsidR="00DF6DD6" w:rsidRPr="007123E3">
        <w:t xml:space="preserve"> </w:t>
      </w:r>
      <w:r w:rsidR="007B1C91">
        <w:t>Cowhouse</w:t>
      </w:r>
      <w:r w:rsidR="00B80127">
        <w:t xml:space="preserve"> HUC-8</w:t>
      </w:r>
      <w:r w:rsidR="00914420" w:rsidRPr="007123E3">
        <w:t>.</w:t>
      </w:r>
      <w:r w:rsidR="00914420">
        <w:t xml:space="preserve"> </w:t>
      </w:r>
      <w:r w:rsidR="002D637E">
        <w:t>CN</w:t>
      </w:r>
      <w:r w:rsidR="00DF6DD6">
        <w:t xml:space="preserve"> and precipitation depth are the t</w:t>
      </w:r>
      <w:r w:rsidR="00914420">
        <w:t>wo</w:t>
      </w:r>
      <w:r w:rsidR="00DF6DD6">
        <w:t xml:space="preserve"> factors used by the HMS model to</w:t>
      </w:r>
      <w:r w:rsidR="00914420">
        <w:t xml:space="preserve"> determine the </w:t>
      </w:r>
      <w:r w:rsidR="00EA309F">
        <w:t>magnitude of the excess precipitation event</w:t>
      </w:r>
      <w:r w:rsidR="00DF6DD6">
        <w:t>.</w:t>
      </w:r>
      <w:r w:rsidR="00914420">
        <w:t xml:space="preserve"> The excess precipitation hyeto</w:t>
      </w:r>
      <w:r w:rsidR="00E36F6A">
        <w:t xml:space="preserve">graph </w:t>
      </w:r>
      <w:r w:rsidR="00B80127">
        <w:t>was</w:t>
      </w:r>
      <w:r w:rsidR="00E36F6A">
        <w:t xml:space="preserve"> calculated </w:t>
      </w:r>
      <w:r w:rsidR="00B80127">
        <w:t>using</w:t>
      </w:r>
      <w:r w:rsidR="00E36F6A">
        <w:t xml:space="preserve"> 6-minute</w:t>
      </w:r>
      <w:r w:rsidR="00914420">
        <w:t xml:space="preserve"> increments</w:t>
      </w:r>
      <w:r w:rsidR="00697875">
        <w:t>.</w:t>
      </w:r>
    </w:p>
    <w:p w14:paraId="6AC421A1" w14:textId="42245FA5" w:rsidR="00CD0A47" w:rsidRDefault="00CD0A47" w:rsidP="0048315A">
      <w:pPr>
        <w:pStyle w:val="BodyText"/>
      </w:pPr>
    </w:p>
    <w:p w14:paraId="5BD459DF" w14:textId="0B4BD36E" w:rsidR="00EA2332" w:rsidRDefault="009F45B3" w:rsidP="007C1FE6">
      <w:pPr>
        <w:pStyle w:val="BodyText"/>
        <w:keepNext/>
        <w:jc w:val="center"/>
      </w:pPr>
      <w:r>
        <w:rPr>
          <w:noProof/>
        </w:rPr>
        <w:lastRenderedPageBreak/>
        <w:drawing>
          <wp:inline distT="0" distB="0" distL="0" distR="0" wp14:anchorId="76FACCFE" wp14:editId="4DF8691C">
            <wp:extent cx="5614416" cy="3200400"/>
            <wp:effectExtent l="0" t="0" r="24765" b="19050"/>
            <wp:docPr id="16" name="Chart 1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27E4FEA4" w14:textId="7F618A79" w:rsidR="002C0A89" w:rsidRDefault="00EA2332" w:rsidP="007824FF">
      <w:pPr>
        <w:pStyle w:val="Caption"/>
        <w:spacing w:after="0"/>
        <w:jc w:val="center"/>
      </w:pPr>
      <w:bookmarkStart w:id="57" w:name="_Ref80284395"/>
      <w:bookmarkStart w:id="58" w:name="_Toc112244158"/>
      <w:r>
        <w:t xml:space="preserve">Figure </w:t>
      </w:r>
      <w:r>
        <w:fldChar w:fldCharType="begin"/>
      </w:r>
      <w:r>
        <w:instrText xml:space="preserve"> SEQ Figure \* ARABIC </w:instrText>
      </w:r>
      <w:r>
        <w:fldChar w:fldCharType="separate"/>
      </w:r>
      <w:r w:rsidR="007D7CA7">
        <w:rPr>
          <w:noProof/>
        </w:rPr>
        <w:t>4</w:t>
      </w:r>
      <w:r>
        <w:fldChar w:fldCharType="end"/>
      </w:r>
      <w:bookmarkEnd w:id="57"/>
      <w:r>
        <w:t xml:space="preserve">: </w:t>
      </w:r>
      <w:r w:rsidRPr="00B80C0C">
        <w:t>Excess Precipitation Hyetograph</w:t>
      </w:r>
      <w:r w:rsidR="002C0A89">
        <w:t xml:space="preserve"> Applied to 2D Mesh – </w:t>
      </w:r>
      <w:r w:rsidR="00F809ED">
        <w:t>Cowhouse</w:t>
      </w:r>
      <w:bookmarkEnd w:id="58"/>
    </w:p>
    <w:p w14:paraId="32F4C27B" w14:textId="77777777" w:rsidR="007824FF" w:rsidRPr="007824FF" w:rsidRDefault="007824FF" w:rsidP="007824FF">
      <w:pPr>
        <w:pStyle w:val="BodyText"/>
      </w:pPr>
    </w:p>
    <w:p w14:paraId="703A5DC1" w14:textId="5972B256" w:rsidR="00976A14" w:rsidRDefault="00FF0D57" w:rsidP="00E51B3A">
      <w:pPr>
        <w:pStyle w:val="Heading4"/>
      </w:pPr>
      <w:bookmarkStart w:id="59" w:name="_Toc112244128"/>
      <w:r>
        <w:t>Stage</w:t>
      </w:r>
      <w:r w:rsidR="00976A14">
        <w:t xml:space="preserve"> Hydrograph Boundary Conditions</w:t>
      </w:r>
      <w:bookmarkEnd w:id="59"/>
    </w:p>
    <w:p w14:paraId="4C3ED689" w14:textId="644ACAF9" w:rsidR="009A5C6A" w:rsidRDefault="009A5C6A" w:rsidP="009A5C6A">
      <w:pPr>
        <w:pStyle w:val="BodyText"/>
      </w:pPr>
      <w:r>
        <w:t>The</w:t>
      </w:r>
      <w:r w:rsidR="002C1BAD" w:rsidRPr="003D6AC8">
        <w:t xml:space="preserve"> </w:t>
      </w:r>
      <w:r w:rsidR="00FF0D57">
        <w:t>Cowhouse</w:t>
      </w:r>
      <w:r>
        <w:t xml:space="preserve"> HUC-8 flows into the</w:t>
      </w:r>
      <w:r w:rsidR="002C1BAD" w:rsidRPr="003D6AC8">
        <w:t xml:space="preserve"> </w:t>
      </w:r>
      <w:r w:rsidR="00FF0D57">
        <w:t xml:space="preserve">Leon </w:t>
      </w:r>
      <w:r w:rsidR="009B263D">
        <w:t>HUC-</w:t>
      </w:r>
      <w:r>
        <w:t>8</w:t>
      </w:r>
      <w:r w:rsidR="002C1BAD" w:rsidRPr="003D6AC8">
        <w:t xml:space="preserve">. </w:t>
      </w:r>
      <w:r>
        <w:t xml:space="preserve">To transition the flow between models a 2D connection was used to extract flows from the Cowhouse model then </w:t>
      </w:r>
      <w:r w:rsidR="002D1342">
        <w:t>apply them</w:t>
      </w:r>
      <w:r>
        <w:t xml:space="preserve"> to the Leon HUC-8 using a stage hydrograph boundary condition.</w:t>
      </w:r>
      <w:r w:rsidR="002C1BAD" w:rsidRPr="003D6AC8">
        <w:t xml:space="preserve"> </w:t>
      </w:r>
      <w:r w:rsidR="00960431" w:rsidRPr="003D6AC8">
        <w:t xml:space="preserve">By </w:t>
      </w:r>
      <w:r>
        <w:t>applying</w:t>
      </w:r>
      <w:r w:rsidR="00960431" w:rsidRPr="003D6AC8">
        <w:t xml:space="preserve"> upstream model results as </w:t>
      </w:r>
      <w:r w:rsidR="00FF0D57">
        <w:t>stage</w:t>
      </w:r>
      <w:r w:rsidR="00960431" w:rsidRPr="003D6AC8">
        <w:t xml:space="preserve"> hydrographs to the downstream model, this allows the </w:t>
      </w:r>
      <w:r w:rsidR="00960431">
        <w:t xml:space="preserve">two </w:t>
      </w:r>
      <w:r w:rsidR="00960431" w:rsidRPr="003D6AC8">
        <w:t>separate HEC-RAS models to act as one continuous model</w:t>
      </w:r>
      <w:r w:rsidR="00FF0D57">
        <w:t xml:space="preserve"> that accounts for all flow passing through each watershed</w:t>
      </w:r>
      <w:r w:rsidR="00960431" w:rsidRPr="003D6AC8">
        <w:t xml:space="preserve">. The </w:t>
      </w:r>
      <w:r w:rsidR="00996449">
        <w:t>stage</w:t>
      </w:r>
      <w:r w:rsidR="00960431" w:rsidRPr="003D6AC8">
        <w:t xml:space="preserve"> hydrograph </w:t>
      </w:r>
      <w:r w:rsidR="00960431">
        <w:t xml:space="preserve">applied to </w:t>
      </w:r>
      <w:r w:rsidR="00996449">
        <w:t xml:space="preserve">Leon </w:t>
      </w:r>
      <w:r w:rsidR="009B263D">
        <w:t>HUC-8</w:t>
      </w:r>
      <w:r w:rsidR="005B76A9">
        <w:t xml:space="preserve"> </w:t>
      </w:r>
      <w:r w:rsidR="00960431">
        <w:t xml:space="preserve">RAS model is represented in </w:t>
      </w:r>
      <w:r w:rsidR="00E743C6">
        <w:fldChar w:fldCharType="begin"/>
      </w:r>
      <w:r w:rsidR="00E743C6">
        <w:instrText xml:space="preserve"> REF _Ref108892397 \h </w:instrText>
      </w:r>
      <w:r w:rsidR="00E743C6">
        <w:fldChar w:fldCharType="separate"/>
      </w:r>
      <w:r w:rsidR="007D7CA7">
        <w:t xml:space="preserve">Figure </w:t>
      </w:r>
      <w:r w:rsidR="007D7CA7">
        <w:rPr>
          <w:noProof/>
        </w:rPr>
        <w:t>5</w:t>
      </w:r>
      <w:r w:rsidR="00E743C6">
        <w:fldChar w:fldCharType="end"/>
      </w:r>
      <w:r w:rsidR="00E743C6">
        <w:t xml:space="preserve">. </w:t>
      </w:r>
    </w:p>
    <w:p w14:paraId="56EF4310" w14:textId="77777777" w:rsidR="00E743C6" w:rsidRDefault="007F4090" w:rsidP="00E743C6">
      <w:pPr>
        <w:pStyle w:val="BodyText"/>
        <w:keepNext/>
        <w:jc w:val="center"/>
      </w:pPr>
      <w:r>
        <w:rPr>
          <w:noProof/>
        </w:rPr>
        <w:drawing>
          <wp:inline distT="0" distB="0" distL="0" distR="0" wp14:anchorId="0B725454" wp14:editId="43EFA41F">
            <wp:extent cx="5614416" cy="3200400"/>
            <wp:effectExtent l="0" t="0" r="24765" b="19050"/>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33D5F274" w14:textId="10B83781" w:rsidR="004A03C5" w:rsidRDefault="00E743C6" w:rsidP="00E743C6">
      <w:pPr>
        <w:pStyle w:val="Caption"/>
        <w:jc w:val="center"/>
      </w:pPr>
      <w:bookmarkStart w:id="60" w:name="_Ref108892397"/>
      <w:bookmarkStart w:id="61" w:name="_Toc112244159"/>
      <w:r>
        <w:t xml:space="preserve">Figure </w:t>
      </w:r>
      <w:r>
        <w:fldChar w:fldCharType="begin"/>
      </w:r>
      <w:r>
        <w:instrText xml:space="preserve"> SEQ Figure \* ARABIC </w:instrText>
      </w:r>
      <w:r>
        <w:fldChar w:fldCharType="separate"/>
      </w:r>
      <w:r w:rsidR="007D7CA7">
        <w:rPr>
          <w:noProof/>
        </w:rPr>
        <w:t>5</w:t>
      </w:r>
      <w:r>
        <w:fldChar w:fldCharType="end"/>
      </w:r>
      <w:bookmarkEnd w:id="60"/>
      <w:r w:rsidRPr="00EE646D">
        <w:t>: Stage Hydrograph for Cowhouse</w:t>
      </w:r>
      <w:bookmarkEnd w:id="61"/>
    </w:p>
    <w:p w14:paraId="7C3D78BD" w14:textId="77777777" w:rsidR="00E743C6" w:rsidRDefault="00E743C6" w:rsidP="00270D3A">
      <w:pPr>
        <w:pStyle w:val="BodyText"/>
      </w:pPr>
    </w:p>
    <w:p w14:paraId="6BEFFF3B" w14:textId="59890277" w:rsidR="00270D3A" w:rsidRPr="00F4027D" w:rsidRDefault="00270D3A" w:rsidP="00270D3A">
      <w:pPr>
        <w:pStyle w:val="BodyText"/>
      </w:pPr>
      <w:r w:rsidRPr="001142C3">
        <w:lastRenderedPageBreak/>
        <w:t>In order to achieve a seamless flood hazard result at a transition location</w:t>
      </w:r>
      <w:r>
        <w:t xml:space="preserve"> (locations where flow is exchanged between 2D model areas)</w:t>
      </w:r>
      <w:r w:rsidRPr="001142C3">
        <w:t>, the water surface elevation</w:t>
      </w:r>
      <w:r w:rsidR="00F67493">
        <w:t xml:space="preserve"> (WSE)</w:t>
      </w:r>
      <w:r w:rsidRPr="001142C3">
        <w:t xml:space="preserve"> and inundation tie-ins between models </w:t>
      </w:r>
      <w:r w:rsidR="00591D95">
        <w:t>was</w:t>
      </w:r>
      <w:r w:rsidRPr="001142C3">
        <w:t xml:space="preserve"> made as close as possible. A 1,000</w:t>
      </w:r>
      <w:r w:rsidR="005C72F6">
        <w:t xml:space="preserve"> </w:t>
      </w:r>
      <w:r w:rsidRPr="001142C3">
        <w:t>f</w:t>
      </w:r>
      <w:r w:rsidR="005C72F6">
        <w:t>ee</w:t>
      </w:r>
      <w:r w:rsidRPr="001142C3">
        <w:t xml:space="preserve">t buffer was applied to each </w:t>
      </w:r>
      <w:r>
        <w:t xml:space="preserve">model </w:t>
      </w:r>
      <w:r w:rsidRPr="001142C3">
        <w:t xml:space="preserve">work area for the mesh boundary. This is done so that the inflow boundary condition of the downstream model and the </w:t>
      </w:r>
      <w:r>
        <w:t>n</w:t>
      </w:r>
      <w:r w:rsidRPr="001142C3">
        <w:t xml:space="preserve">ormal </w:t>
      </w:r>
      <w:r>
        <w:t>d</w:t>
      </w:r>
      <w:r w:rsidRPr="001142C3">
        <w:t xml:space="preserve">epth outlet boundary condition of the upstream model are far enough away from the work area transition location that they do not impact the </w:t>
      </w:r>
      <w:r w:rsidR="00F67493">
        <w:t>WSE</w:t>
      </w:r>
      <w:r w:rsidRPr="001142C3">
        <w:t xml:space="preserve"> tie-ins between models in an undesired way. To make this overlap work without double accounting for rainfall, </w:t>
      </w:r>
      <w:r w:rsidR="009A5C6A">
        <w:t>the</w:t>
      </w:r>
      <w:r w:rsidRPr="001142C3">
        <w:t xml:space="preserve"> internal 2D connection is placed in the upstream model at the exact same location as the inflow boundary condition </w:t>
      </w:r>
      <w:r w:rsidR="009A5C6A">
        <w:t>for</w:t>
      </w:r>
      <w:r w:rsidRPr="001142C3">
        <w:t xml:space="preserve"> the downstream model. </w:t>
      </w:r>
      <w:r>
        <w:t>Approximately</w:t>
      </w:r>
      <w:r w:rsidRPr="001142C3">
        <w:t xml:space="preserve"> half</w:t>
      </w:r>
      <w:r w:rsidR="009A5C6A">
        <w:t>way between the model overlap are</w:t>
      </w:r>
      <w:r w:rsidRPr="001142C3">
        <w:t xml:space="preserve"> the actual model area boundaries where the mapped floodplain products switch from the upstream model results to the downstream model results. This transition location is the targeted area to have the </w:t>
      </w:r>
      <w:r w:rsidR="00F67493">
        <w:t>WSE</w:t>
      </w:r>
      <w:r w:rsidRPr="001142C3">
        <w:t xml:space="preserve"> and inundation </w:t>
      </w:r>
      <w:r>
        <w:t>tie-in</w:t>
      </w:r>
      <w:r w:rsidRPr="001142C3">
        <w:t xml:space="preserve"> as closely as possible</w:t>
      </w:r>
      <w:r w:rsidRPr="00F4027D">
        <w:t xml:space="preserve">. </w:t>
      </w:r>
    </w:p>
    <w:p w14:paraId="4C767453" w14:textId="0DB357D3" w:rsidR="00270D3A" w:rsidRPr="00270D3A" w:rsidRDefault="00976A14" w:rsidP="00270D3A">
      <w:pPr>
        <w:pStyle w:val="Heading3"/>
      </w:pPr>
      <w:bookmarkStart w:id="62" w:name="_Toc112244129"/>
      <w:r>
        <w:t>Hydraulics</w:t>
      </w:r>
      <w:bookmarkEnd w:id="62"/>
    </w:p>
    <w:p w14:paraId="7457C45B" w14:textId="016F7869" w:rsidR="0048315A" w:rsidRPr="0048315A" w:rsidRDefault="00161A02" w:rsidP="0048315A">
      <w:pPr>
        <w:pStyle w:val="BodyText"/>
      </w:pPr>
      <w:r w:rsidRPr="00161A02">
        <w:t>This section describes the remaining hydraulic modeling considerations, including implementation of Manning’s roughness, breaklines, refinement regions, and hydraulic structures within the 2D computational mesh</w:t>
      </w:r>
      <w:r w:rsidR="0050705B" w:rsidRPr="00193BD7">
        <w:t>.</w:t>
      </w:r>
    </w:p>
    <w:p w14:paraId="6614D2D7" w14:textId="77777777" w:rsidR="00976A14" w:rsidRDefault="0048315A" w:rsidP="00E51B3A">
      <w:pPr>
        <w:pStyle w:val="Heading4"/>
      </w:pPr>
      <w:bookmarkStart w:id="63" w:name="_Toc112244130"/>
      <w:r>
        <w:t>Roughness Coefficients</w:t>
      </w:r>
      <w:bookmarkEnd w:id="63"/>
    </w:p>
    <w:p w14:paraId="5EE09FEE" w14:textId="5768F4AE" w:rsidR="00161A02" w:rsidRDefault="00161A02" w:rsidP="00950581">
      <w:pPr>
        <w:pStyle w:val="BodyText"/>
      </w:pPr>
      <w:r w:rsidRPr="00161A02">
        <w:t xml:space="preserve">Manning’s n roughness coverage was developed for the 2D computational mesh using typical roughness values for given NLCD land classifications. </w:t>
      </w:r>
      <w:r w:rsidR="00B26138">
        <w:t xml:space="preserve">Two different sets of Manning’s </w:t>
      </w:r>
      <w:r w:rsidR="00270D3A">
        <w:t>n</w:t>
      </w:r>
      <w:r w:rsidR="00B26138">
        <w:t xml:space="preserve"> values were used for areas within the channel and all other areas outside of the channels of the stream network. </w:t>
      </w:r>
      <w:r w:rsidR="00E07907">
        <w:t>The channel layers were created using a 100</w:t>
      </w:r>
      <w:r w:rsidR="00DD0D67">
        <w:t xml:space="preserve"> </w:t>
      </w:r>
      <w:r w:rsidR="00E07907">
        <w:t>f</w:t>
      </w:r>
      <w:r w:rsidR="005C72F6">
        <w:t>oot</w:t>
      </w:r>
      <w:r w:rsidR="00E07907">
        <w:t xml:space="preserve"> buffer. </w:t>
      </w:r>
      <w:r w:rsidR="00B26138">
        <w:t xml:space="preserve">This allows for the model to accurately represent deep, swift flow within the channel and shallow overland flow outside of the channel areas. </w:t>
      </w:r>
      <w:r w:rsidRPr="00161A02">
        <w:t>The table below shows a typical landuse-roughness matrix used in defining the roughn</w:t>
      </w:r>
      <w:r w:rsidR="00B26138">
        <w:t>ess coverage for the study area for areas both inside and outside of the channel.</w:t>
      </w:r>
      <w:r w:rsidR="00B56E46">
        <w:t xml:space="preserve"> In the HEC-RAS model Channel n values are listed as land classification – Channel, and Overbank bank n values are listed as land classification – Base.</w:t>
      </w:r>
    </w:p>
    <w:p w14:paraId="6A644BF1" w14:textId="6D0151E8" w:rsidR="00EA2332" w:rsidRDefault="00EA2332" w:rsidP="00EA2332">
      <w:pPr>
        <w:pStyle w:val="Caption"/>
        <w:jc w:val="center"/>
      </w:pPr>
      <w:bookmarkStart w:id="64" w:name="_Toc112244171"/>
      <w:r>
        <w:t xml:space="preserve">Table </w:t>
      </w:r>
      <w:r>
        <w:fldChar w:fldCharType="begin"/>
      </w:r>
      <w:r>
        <w:instrText xml:space="preserve"> SEQ Table \* ARABIC </w:instrText>
      </w:r>
      <w:r>
        <w:fldChar w:fldCharType="separate"/>
      </w:r>
      <w:r w:rsidR="007D7CA7">
        <w:rPr>
          <w:noProof/>
        </w:rPr>
        <w:t>8</w:t>
      </w:r>
      <w:r>
        <w:fldChar w:fldCharType="end"/>
      </w:r>
      <w:r>
        <w:t xml:space="preserve">: </w:t>
      </w:r>
      <w:r w:rsidR="00B46736">
        <w:t>NLCD 2019</w:t>
      </w:r>
      <w:r w:rsidRPr="0030276A">
        <w:t xml:space="preserve"> Manning's </w:t>
      </w:r>
      <w:r w:rsidR="00270D3A">
        <w:t>n</w:t>
      </w:r>
      <w:r w:rsidRPr="0030276A">
        <w:t xml:space="preserve"> Roughness Matrix</w:t>
      </w:r>
      <w:bookmarkEnd w:id="64"/>
    </w:p>
    <w:tbl>
      <w:tblPr>
        <w:tblStyle w:val="CompassTable"/>
        <w:tblW w:w="8162" w:type="dxa"/>
        <w:jc w:val="center"/>
        <w:tblLook w:val="04A0" w:firstRow="1" w:lastRow="0" w:firstColumn="1" w:lastColumn="0" w:noHBand="0" w:noVBand="1"/>
      </w:tblPr>
      <w:tblGrid>
        <w:gridCol w:w="2642"/>
        <w:gridCol w:w="1373"/>
        <w:gridCol w:w="1207"/>
        <w:gridCol w:w="1207"/>
        <w:gridCol w:w="1733"/>
      </w:tblGrid>
      <w:tr w:rsidR="0007100B" w:rsidRPr="00161A02" w14:paraId="37F6A871" w14:textId="77777777" w:rsidTr="00BC6495">
        <w:trPr>
          <w:cnfStyle w:val="100000000000" w:firstRow="1" w:lastRow="0" w:firstColumn="0" w:lastColumn="0" w:oddVBand="0" w:evenVBand="0" w:oddHBand="0" w:evenHBand="0" w:firstRowFirstColumn="0" w:firstRowLastColumn="0" w:lastRowFirstColumn="0" w:lastRowLastColumn="0"/>
          <w:trHeight w:val="431"/>
          <w:jc w:val="center"/>
        </w:trPr>
        <w:tc>
          <w:tcPr>
            <w:tcW w:w="2642" w:type="dxa"/>
            <w:vMerge w:val="restart"/>
            <w:shd w:val="clear" w:color="auto" w:fill="00B5E2" w:themeFill="accent1"/>
          </w:tcPr>
          <w:p w14:paraId="24C25EA1" w14:textId="77777777" w:rsidR="0007100B" w:rsidRPr="00161A02" w:rsidRDefault="0007100B" w:rsidP="0007100B">
            <w:pPr>
              <w:tabs>
                <w:tab w:val="clear" w:pos="284"/>
              </w:tabs>
              <w:spacing w:line="240" w:lineRule="auto"/>
              <w:jc w:val="center"/>
              <w:rPr>
                <w:rFonts w:eastAsia="Calibri" w:cs="Times New Roman"/>
                <w:kern w:val="0"/>
                <w:sz w:val="20"/>
                <w:szCs w:val="20"/>
              </w:rPr>
            </w:pPr>
            <w:r w:rsidRPr="00161A02">
              <w:rPr>
                <w:rFonts w:eastAsia="Calibri" w:cs="Times New Roman"/>
                <w:kern w:val="0"/>
                <w:sz w:val="20"/>
                <w:szCs w:val="20"/>
              </w:rPr>
              <w:t>NLCD Classification</w:t>
            </w:r>
          </w:p>
        </w:tc>
        <w:tc>
          <w:tcPr>
            <w:tcW w:w="2580" w:type="dxa"/>
            <w:gridSpan w:val="2"/>
            <w:shd w:val="clear" w:color="auto" w:fill="00B5E2" w:themeFill="accent1"/>
          </w:tcPr>
          <w:p w14:paraId="4FB5068D" w14:textId="77777777" w:rsidR="0007100B" w:rsidRDefault="0007100B" w:rsidP="0007100B">
            <w:pPr>
              <w:tabs>
                <w:tab w:val="clear" w:pos="284"/>
              </w:tabs>
              <w:spacing w:line="240" w:lineRule="auto"/>
              <w:jc w:val="center"/>
              <w:rPr>
                <w:rFonts w:eastAsia="Calibri" w:cs="Times New Roman"/>
                <w:kern w:val="0"/>
                <w:sz w:val="20"/>
                <w:szCs w:val="20"/>
              </w:rPr>
            </w:pPr>
            <w:r>
              <w:rPr>
                <w:rFonts w:eastAsia="Calibri" w:cs="Times New Roman"/>
                <w:kern w:val="0"/>
                <w:sz w:val="20"/>
                <w:szCs w:val="20"/>
              </w:rPr>
              <w:t>Channel</w:t>
            </w:r>
          </w:p>
        </w:tc>
        <w:tc>
          <w:tcPr>
            <w:tcW w:w="2940" w:type="dxa"/>
            <w:gridSpan w:val="2"/>
            <w:shd w:val="clear" w:color="auto" w:fill="00B5E2" w:themeFill="accent1"/>
          </w:tcPr>
          <w:p w14:paraId="6EC934AC" w14:textId="77777777" w:rsidR="0007100B" w:rsidRPr="00161A02" w:rsidRDefault="0007100B" w:rsidP="0007100B">
            <w:pPr>
              <w:tabs>
                <w:tab w:val="clear" w:pos="284"/>
              </w:tabs>
              <w:spacing w:line="240" w:lineRule="auto"/>
              <w:jc w:val="center"/>
              <w:rPr>
                <w:rFonts w:eastAsia="Calibri" w:cs="Times New Roman"/>
                <w:kern w:val="0"/>
                <w:sz w:val="20"/>
                <w:szCs w:val="20"/>
              </w:rPr>
            </w:pPr>
            <w:r>
              <w:rPr>
                <w:rFonts w:eastAsia="Calibri" w:cs="Times New Roman"/>
                <w:kern w:val="0"/>
                <w:sz w:val="20"/>
                <w:szCs w:val="20"/>
              </w:rPr>
              <w:t>Overbank</w:t>
            </w:r>
          </w:p>
        </w:tc>
      </w:tr>
      <w:tr w:rsidR="0007100B" w:rsidRPr="00161A02" w14:paraId="570071C8" w14:textId="77777777" w:rsidTr="00BC6495">
        <w:trPr>
          <w:cnfStyle w:val="000000100000" w:firstRow="0" w:lastRow="0" w:firstColumn="0" w:lastColumn="0" w:oddVBand="0" w:evenVBand="0" w:oddHBand="1" w:evenHBand="0" w:firstRowFirstColumn="0" w:firstRowLastColumn="0" w:lastRowFirstColumn="0" w:lastRowLastColumn="0"/>
          <w:trHeight w:val="431"/>
          <w:jc w:val="center"/>
        </w:trPr>
        <w:tc>
          <w:tcPr>
            <w:tcW w:w="2642" w:type="dxa"/>
            <w:vMerge/>
            <w:shd w:val="clear" w:color="auto" w:fill="00B5E2" w:themeFill="accent1"/>
          </w:tcPr>
          <w:p w14:paraId="0CA8B791" w14:textId="77777777" w:rsidR="0007100B" w:rsidRPr="00161A02" w:rsidRDefault="0007100B" w:rsidP="00161A02">
            <w:pPr>
              <w:tabs>
                <w:tab w:val="clear" w:pos="284"/>
              </w:tabs>
              <w:spacing w:line="240" w:lineRule="auto"/>
              <w:jc w:val="center"/>
              <w:rPr>
                <w:rFonts w:eastAsia="Calibri" w:cs="Times New Roman"/>
                <w:kern w:val="0"/>
                <w:szCs w:val="20"/>
              </w:rPr>
            </w:pPr>
          </w:p>
        </w:tc>
        <w:tc>
          <w:tcPr>
            <w:tcW w:w="1373" w:type="dxa"/>
            <w:shd w:val="clear" w:color="auto" w:fill="00B5E2" w:themeFill="accent1"/>
          </w:tcPr>
          <w:p w14:paraId="3F96F836" w14:textId="77777777" w:rsidR="0007100B" w:rsidRPr="0007100B" w:rsidRDefault="0007100B" w:rsidP="00161A02">
            <w:pPr>
              <w:tabs>
                <w:tab w:val="clear" w:pos="284"/>
              </w:tabs>
              <w:spacing w:line="240" w:lineRule="auto"/>
              <w:jc w:val="center"/>
              <w:rPr>
                <w:rFonts w:eastAsia="Calibri" w:cs="Times New Roman"/>
                <w:b/>
                <w:color w:val="FFFFFF"/>
                <w:kern w:val="0"/>
                <w:szCs w:val="20"/>
              </w:rPr>
            </w:pPr>
            <w:r w:rsidRPr="0007100B">
              <w:rPr>
                <w:rFonts w:eastAsia="Calibri" w:cs="Times New Roman"/>
                <w:b/>
                <w:color w:val="FFFFFF"/>
                <w:kern w:val="0"/>
                <w:szCs w:val="20"/>
              </w:rPr>
              <w:t>N Value</w:t>
            </w:r>
          </w:p>
        </w:tc>
        <w:tc>
          <w:tcPr>
            <w:tcW w:w="1207" w:type="dxa"/>
            <w:shd w:val="clear" w:color="auto" w:fill="00B5E2" w:themeFill="accent1"/>
          </w:tcPr>
          <w:p w14:paraId="1DBD14D9" w14:textId="77777777" w:rsidR="0007100B" w:rsidRPr="0007100B" w:rsidRDefault="0007100B" w:rsidP="00161A02">
            <w:pPr>
              <w:tabs>
                <w:tab w:val="clear" w:pos="284"/>
              </w:tabs>
              <w:spacing w:line="240" w:lineRule="auto"/>
              <w:jc w:val="center"/>
              <w:rPr>
                <w:rFonts w:eastAsia="Calibri" w:cs="Times New Roman"/>
                <w:b/>
                <w:color w:val="FFFFFF"/>
                <w:kern w:val="0"/>
                <w:szCs w:val="20"/>
              </w:rPr>
            </w:pPr>
            <w:r w:rsidRPr="0007100B">
              <w:rPr>
                <w:rFonts w:eastAsia="Calibri" w:cs="Times New Roman"/>
                <w:b/>
                <w:color w:val="FFFFFF"/>
                <w:kern w:val="0"/>
                <w:szCs w:val="20"/>
              </w:rPr>
              <w:t>Source</w:t>
            </w:r>
          </w:p>
        </w:tc>
        <w:tc>
          <w:tcPr>
            <w:tcW w:w="1207" w:type="dxa"/>
            <w:shd w:val="clear" w:color="auto" w:fill="00B5E2" w:themeFill="accent1"/>
          </w:tcPr>
          <w:p w14:paraId="79D58B84" w14:textId="77777777" w:rsidR="0007100B" w:rsidRDefault="0007100B" w:rsidP="00161A02">
            <w:pPr>
              <w:tabs>
                <w:tab w:val="clear" w:pos="284"/>
              </w:tabs>
              <w:spacing w:line="240" w:lineRule="auto"/>
              <w:jc w:val="center"/>
              <w:rPr>
                <w:rFonts w:eastAsia="Calibri" w:cs="Times New Roman"/>
                <w:kern w:val="0"/>
                <w:szCs w:val="20"/>
              </w:rPr>
            </w:pPr>
            <w:r w:rsidRPr="0007100B">
              <w:rPr>
                <w:rFonts w:eastAsia="Calibri" w:cs="Times New Roman"/>
                <w:b/>
                <w:color w:val="FFFFFF"/>
                <w:kern w:val="0"/>
                <w:szCs w:val="20"/>
              </w:rPr>
              <w:t>N Value</w:t>
            </w:r>
          </w:p>
        </w:tc>
        <w:tc>
          <w:tcPr>
            <w:tcW w:w="1733" w:type="dxa"/>
            <w:shd w:val="clear" w:color="auto" w:fill="00B5E2" w:themeFill="accent1"/>
          </w:tcPr>
          <w:p w14:paraId="10563A1F" w14:textId="77777777" w:rsidR="0007100B" w:rsidRPr="0007100B" w:rsidRDefault="0007100B" w:rsidP="00161A02">
            <w:pPr>
              <w:tabs>
                <w:tab w:val="clear" w:pos="284"/>
              </w:tabs>
              <w:spacing w:line="240" w:lineRule="auto"/>
              <w:jc w:val="center"/>
              <w:rPr>
                <w:rFonts w:eastAsia="Calibri" w:cs="Times New Roman"/>
                <w:b/>
                <w:color w:val="FFFFFF"/>
                <w:kern w:val="0"/>
                <w:szCs w:val="20"/>
              </w:rPr>
            </w:pPr>
            <w:r w:rsidRPr="0007100B">
              <w:rPr>
                <w:rFonts w:eastAsia="Calibri" w:cs="Times New Roman"/>
                <w:b/>
                <w:color w:val="FFFFFF"/>
                <w:kern w:val="0"/>
                <w:szCs w:val="20"/>
              </w:rPr>
              <w:t>Source</w:t>
            </w:r>
          </w:p>
        </w:tc>
      </w:tr>
      <w:tr w:rsidR="0007100B" w:rsidRPr="00161A02" w14:paraId="43669339" w14:textId="77777777" w:rsidTr="0007100B">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4719DA2D"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Open Water</w:t>
            </w:r>
          </w:p>
        </w:tc>
        <w:tc>
          <w:tcPr>
            <w:tcW w:w="1373" w:type="dxa"/>
          </w:tcPr>
          <w:p w14:paraId="45D3C5FE" w14:textId="77777777" w:rsidR="0007100B" w:rsidRPr="00632271" w:rsidRDefault="0007100B" w:rsidP="00B26138">
            <w:pPr>
              <w:keepNext/>
              <w:keepLines/>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w:t>
            </w:r>
          </w:p>
        </w:tc>
        <w:tc>
          <w:tcPr>
            <w:tcW w:w="1207" w:type="dxa"/>
          </w:tcPr>
          <w:p w14:paraId="685F6C59" w14:textId="5446EC86" w:rsidR="0007100B" w:rsidRPr="00834397" w:rsidRDefault="0007100B" w:rsidP="00161A02">
            <w:pPr>
              <w:keepNext/>
              <w:keepLines/>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2FCC92AF" w14:textId="77777777" w:rsidR="0007100B" w:rsidRPr="00632271" w:rsidRDefault="0007100B" w:rsidP="00161A02">
            <w:pPr>
              <w:keepNext/>
              <w:keepLines/>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w:t>
            </w:r>
          </w:p>
        </w:tc>
        <w:tc>
          <w:tcPr>
            <w:tcW w:w="1733" w:type="dxa"/>
          </w:tcPr>
          <w:p w14:paraId="5624232F" w14:textId="31B816D3" w:rsidR="0007100B" w:rsidRPr="00834397" w:rsidRDefault="0007100B" w:rsidP="00B7046D">
            <w:pPr>
              <w:keepNext/>
              <w:keepLines/>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B7046D">
              <w:rPr>
                <w:rFonts w:eastAsia="Calibri" w:cs="Times New Roman"/>
                <w:kern w:val="0"/>
                <w:szCs w:val="20"/>
              </w:rPr>
              <w:t xml:space="preserve">, </w:t>
            </w:r>
            <w:r w:rsidRPr="00834397">
              <w:rPr>
                <w:rFonts w:eastAsia="Calibri" w:cs="Times New Roman"/>
                <w:kern w:val="0"/>
                <w:szCs w:val="20"/>
              </w:rPr>
              <w:t>1959</w:t>
            </w:r>
          </w:p>
        </w:tc>
      </w:tr>
      <w:tr w:rsidR="0007100B" w:rsidRPr="00161A02" w14:paraId="52B1502E" w14:textId="77777777" w:rsidTr="0007100B">
        <w:trPr>
          <w:cnfStyle w:val="000000100000" w:firstRow="0" w:lastRow="0" w:firstColumn="0" w:lastColumn="0" w:oddVBand="0" w:evenVBand="0" w:oddHBand="1" w:evenHBand="0" w:firstRowFirstColumn="0" w:firstRowLastColumn="0" w:lastRowFirstColumn="0" w:lastRowLastColumn="0"/>
          <w:trHeight w:val="143"/>
          <w:jc w:val="center"/>
        </w:trPr>
        <w:tc>
          <w:tcPr>
            <w:tcW w:w="2642" w:type="dxa"/>
          </w:tcPr>
          <w:p w14:paraId="512AC0AE"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Developed, Open Space</w:t>
            </w:r>
          </w:p>
        </w:tc>
        <w:tc>
          <w:tcPr>
            <w:tcW w:w="1373" w:type="dxa"/>
          </w:tcPr>
          <w:p w14:paraId="702EBE48"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0.035</w:t>
            </w:r>
          </w:p>
        </w:tc>
        <w:tc>
          <w:tcPr>
            <w:tcW w:w="1207" w:type="dxa"/>
          </w:tcPr>
          <w:p w14:paraId="4C46BFA6" w14:textId="007B4B64" w:rsidR="0007100B" w:rsidRPr="00834397" w:rsidRDefault="0007100B"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513327EF"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733" w:type="dxa"/>
          </w:tcPr>
          <w:p w14:paraId="328FD37E" w14:textId="627AC948" w:rsidR="0007100B" w:rsidRPr="00834397" w:rsidRDefault="00891E9E"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w:t>
            </w:r>
            <w:r w:rsidR="00834397" w:rsidRPr="00834397">
              <w:rPr>
                <w:rFonts w:eastAsia="Calibri" w:cs="Times New Roman"/>
                <w:kern w:val="0"/>
                <w:szCs w:val="20"/>
              </w:rPr>
              <w:t xml:space="preserve"> KS Dam Breach</w:t>
            </w:r>
            <w:r w:rsidR="0050705B">
              <w:rPr>
                <w:rFonts w:eastAsia="Calibri" w:cs="Times New Roman"/>
                <w:kern w:val="0"/>
                <w:szCs w:val="20"/>
              </w:rPr>
              <w:t>, 2016</w:t>
            </w:r>
          </w:p>
        </w:tc>
      </w:tr>
      <w:tr w:rsidR="0007100B" w:rsidRPr="00161A02" w14:paraId="7431EF65" w14:textId="77777777" w:rsidTr="0007100B">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775DD285"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Developed, Low Intensity</w:t>
            </w:r>
          </w:p>
        </w:tc>
        <w:tc>
          <w:tcPr>
            <w:tcW w:w="1373" w:type="dxa"/>
          </w:tcPr>
          <w:p w14:paraId="6562220A" w14:textId="77777777" w:rsidR="0007100B" w:rsidRPr="00632271" w:rsidRDefault="0007100B" w:rsidP="00B26138">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0.035</w:t>
            </w:r>
          </w:p>
        </w:tc>
        <w:tc>
          <w:tcPr>
            <w:tcW w:w="1207" w:type="dxa"/>
          </w:tcPr>
          <w:p w14:paraId="00C0BEDD" w14:textId="14A4AE71"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7D66E6F8"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0.08</w:t>
            </w:r>
          </w:p>
        </w:tc>
        <w:tc>
          <w:tcPr>
            <w:tcW w:w="1733" w:type="dxa"/>
          </w:tcPr>
          <w:p w14:paraId="6FB7AB42" w14:textId="607EAE97"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57D4891B" w14:textId="77777777" w:rsidTr="0007100B">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3AB9EF9A"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Developed, Medium Intensity</w:t>
            </w:r>
          </w:p>
        </w:tc>
        <w:tc>
          <w:tcPr>
            <w:tcW w:w="1373" w:type="dxa"/>
          </w:tcPr>
          <w:p w14:paraId="0A29AECE"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0.035</w:t>
            </w:r>
          </w:p>
        </w:tc>
        <w:tc>
          <w:tcPr>
            <w:tcW w:w="1207" w:type="dxa"/>
          </w:tcPr>
          <w:p w14:paraId="7C23CFBA" w14:textId="7B56B81E" w:rsidR="0007100B" w:rsidRPr="00834397" w:rsidRDefault="00834397" w:rsidP="00B26138">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04E509EF" w14:textId="77777777" w:rsidR="0007100B" w:rsidRPr="00632271" w:rsidRDefault="0007100B" w:rsidP="00B26138">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w:t>
            </w:r>
          </w:p>
        </w:tc>
        <w:tc>
          <w:tcPr>
            <w:tcW w:w="1733" w:type="dxa"/>
          </w:tcPr>
          <w:p w14:paraId="61BAD6EF" w14:textId="1D9FA958"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5B0663BA" w14:textId="77777777" w:rsidTr="0007100B">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0F9CBB6F"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Developed, High Intensity</w:t>
            </w:r>
          </w:p>
        </w:tc>
        <w:tc>
          <w:tcPr>
            <w:tcW w:w="1373" w:type="dxa"/>
          </w:tcPr>
          <w:p w14:paraId="0ACF5703" w14:textId="77777777" w:rsidR="0007100B" w:rsidRPr="00632271" w:rsidRDefault="0007100B" w:rsidP="00B26138">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0.035</w:t>
            </w:r>
          </w:p>
        </w:tc>
        <w:tc>
          <w:tcPr>
            <w:tcW w:w="1207" w:type="dxa"/>
          </w:tcPr>
          <w:p w14:paraId="4F49BEB8" w14:textId="74335B7E"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5B266E43"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0.15</w:t>
            </w:r>
          </w:p>
        </w:tc>
        <w:tc>
          <w:tcPr>
            <w:tcW w:w="1733" w:type="dxa"/>
          </w:tcPr>
          <w:p w14:paraId="6C60DCE0" w14:textId="47E316E3"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35371C3A" w14:textId="77777777" w:rsidTr="0007100B">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1F2CB535"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Barren Land</w:t>
            </w:r>
          </w:p>
        </w:tc>
        <w:tc>
          <w:tcPr>
            <w:tcW w:w="1373" w:type="dxa"/>
          </w:tcPr>
          <w:p w14:paraId="1130758B"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w:t>
            </w:r>
          </w:p>
        </w:tc>
        <w:tc>
          <w:tcPr>
            <w:tcW w:w="1207" w:type="dxa"/>
          </w:tcPr>
          <w:p w14:paraId="0B1A0D52" w14:textId="65FEC31E"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017DC2A2"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w:t>
            </w:r>
          </w:p>
        </w:tc>
        <w:tc>
          <w:tcPr>
            <w:tcW w:w="1733" w:type="dxa"/>
          </w:tcPr>
          <w:p w14:paraId="50A06B09" w14:textId="208371AA"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0285DE85" w14:textId="77777777" w:rsidTr="0007100B">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1E42A7DA"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Deciduous Forest</w:t>
            </w:r>
          </w:p>
        </w:tc>
        <w:tc>
          <w:tcPr>
            <w:tcW w:w="1373" w:type="dxa"/>
          </w:tcPr>
          <w:p w14:paraId="7E2E144F" w14:textId="77777777" w:rsidR="0007100B" w:rsidRPr="00632271" w:rsidRDefault="0007100B" w:rsidP="00B26138">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0.05</w:t>
            </w:r>
          </w:p>
        </w:tc>
        <w:tc>
          <w:tcPr>
            <w:tcW w:w="1207" w:type="dxa"/>
          </w:tcPr>
          <w:p w14:paraId="48CE0ACB" w14:textId="452F1A05"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2380DD66"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0.16</w:t>
            </w:r>
          </w:p>
        </w:tc>
        <w:tc>
          <w:tcPr>
            <w:tcW w:w="1733" w:type="dxa"/>
          </w:tcPr>
          <w:p w14:paraId="21BA48C1" w14:textId="0E2C68DD"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35D31381" w14:textId="77777777" w:rsidTr="0007100B">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64B655F4"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Evergreen Forest</w:t>
            </w:r>
          </w:p>
        </w:tc>
        <w:tc>
          <w:tcPr>
            <w:tcW w:w="1373" w:type="dxa"/>
          </w:tcPr>
          <w:p w14:paraId="420C4FFA"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0.05</w:t>
            </w:r>
          </w:p>
        </w:tc>
        <w:tc>
          <w:tcPr>
            <w:tcW w:w="1207" w:type="dxa"/>
          </w:tcPr>
          <w:p w14:paraId="6D650E99" w14:textId="5740144F"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58EDE92F"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0.16</w:t>
            </w:r>
          </w:p>
        </w:tc>
        <w:tc>
          <w:tcPr>
            <w:tcW w:w="1733" w:type="dxa"/>
          </w:tcPr>
          <w:p w14:paraId="3A17959A" w14:textId="2C3F698F"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116D8BE8" w14:textId="77777777" w:rsidTr="0007100B">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7DA01E8A"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Mixed Forest</w:t>
            </w:r>
          </w:p>
        </w:tc>
        <w:tc>
          <w:tcPr>
            <w:tcW w:w="1373" w:type="dxa"/>
          </w:tcPr>
          <w:p w14:paraId="02C09CCE"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0.05</w:t>
            </w:r>
          </w:p>
        </w:tc>
        <w:tc>
          <w:tcPr>
            <w:tcW w:w="1207" w:type="dxa"/>
          </w:tcPr>
          <w:p w14:paraId="324C4A4D" w14:textId="289E98D2"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33CB400C"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0.15</w:t>
            </w:r>
          </w:p>
        </w:tc>
        <w:tc>
          <w:tcPr>
            <w:tcW w:w="1733" w:type="dxa"/>
          </w:tcPr>
          <w:p w14:paraId="1764CF33" w14:textId="146B9F49"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28F46D33" w14:textId="77777777" w:rsidTr="0007100B">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329CF57C"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Scrub/Shrub</w:t>
            </w:r>
          </w:p>
        </w:tc>
        <w:tc>
          <w:tcPr>
            <w:tcW w:w="1373" w:type="dxa"/>
          </w:tcPr>
          <w:p w14:paraId="4A826459"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207" w:type="dxa"/>
          </w:tcPr>
          <w:p w14:paraId="07507D0F" w14:textId="60CE4675"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35DA49F1"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w:t>
            </w:r>
          </w:p>
        </w:tc>
        <w:tc>
          <w:tcPr>
            <w:tcW w:w="1733" w:type="dxa"/>
          </w:tcPr>
          <w:p w14:paraId="125383D0" w14:textId="5E88B33A"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B56E46" w:rsidRPr="00161A02" w14:paraId="65453654" w14:textId="77777777" w:rsidTr="0007100B">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452F8510" w14:textId="26093A92" w:rsidR="00B56E46" w:rsidRPr="00161A02" w:rsidRDefault="001710CD" w:rsidP="00161A02">
            <w:pPr>
              <w:tabs>
                <w:tab w:val="clear" w:pos="284"/>
              </w:tabs>
              <w:spacing w:line="240" w:lineRule="auto"/>
              <w:rPr>
                <w:rFonts w:eastAsia="Calibri" w:cs="Times New Roman"/>
                <w:kern w:val="0"/>
                <w:szCs w:val="20"/>
              </w:rPr>
            </w:pPr>
            <w:r>
              <w:rPr>
                <w:rFonts w:eastAsia="Calibri" w:cs="Times New Roman"/>
                <w:kern w:val="0"/>
                <w:szCs w:val="20"/>
              </w:rPr>
              <w:t>Grassland/Herbaceous</w:t>
            </w:r>
          </w:p>
        </w:tc>
        <w:tc>
          <w:tcPr>
            <w:tcW w:w="1373" w:type="dxa"/>
          </w:tcPr>
          <w:p w14:paraId="4B108D0E" w14:textId="2A8072AD" w:rsidR="00B56E46" w:rsidRPr="00632271" w:rsidRDefault="00AA7F22" w:rsidP="00161A02">
            <w:pPr>
              <w:tabs>
                <w:tab w:val="clear" w:pos="284"/>
              </w:tabs>
              <w:spacing w:before="40" w:after="20" w:line="240" w:lineRule="auto"/>
              <w:ind w:left="29" w:right="-43"/>
              <w:jc w:val="center"/>
              <w:rPr>
                <w:rFonts w:eastAsia="Calibri" w:cs="Times New Roman"/>
                <w:kern w:val="0"/>
                <w:szCs w:val="20"/>
              </w:rPr>
            </w:pPr>
            <w:r>
              <w:rPr>
                <w:rFonts w:eastAsia="Calibri" w:cs="Times New Roman"/>
                <w:kern w:val="0"/>
                <w:szCs w:val="20"/>
              </w:rPr>
              <w:t>0.04</w:t>
            </w:r>
          </w:p>
        </w:tc>
        <w:tc>
          <w:tcPr>
            <w:tcW w:w="1207" w:type="dxa"/>
          </w:tcPr>
          <w:p w14:paraId="55002E8C" w14:textId="1CBC2E5E" w:rsidR="00B56E46" w:rsidRPr="00834397" w:rsidRDefault="00AA7F22" w:rsidP="00161A02">
            <w:pPr>
              <w:tabs>
                <w:tab w:val="clear" w:pos="284"/>
              </w:tabs>
              <w:spacing w:before="40" w:after="20" w:line="240" w:lineRule="auto"/>
              <w:ind w:left="29" w:right="-43"/>
              <w:jc w:val="center"/>
              <w:rPr>
                <w:rFonts w:eastAsia="Calibri" w:cs="Times New Roman"/>
                <w:kern w:val="0"/>
                <w:szCs w:val="20"/>
              </w:rPr>
            </w:pPr>
            <w:r>
              <w:rPr>
                <w:rFonts w:eastAsia="Calibri" w:cs="Times New Roman"/>
                <w:kern w:val="0"/>
                <w:szCs w:val="20"/>
              </w:rPr>
              <w:t>Chow, 1959</w:t>
            </w:r>
          </w:p>
        </w:tc>
        <w:tc>
          <w:tcPr>
            <w:tcW w:w="1207" w:type="dxa"/>
          </w:tcPr>
          <w:p w14:paraId="0306903F" w14:textId="275C8E1E" w:rsidR="00B56E46" w:rsidRPr="00632271" w:rsidRDefault="00AA7F22" w:rsidP="0072554E">
            <w:pPr>
              <w:tabs>
                <w:tab w:val="clear" w:pos="284"/>
              </w:tabs>
              <w:spacing w:before="40" w:after="20" w:line="240" w:lineRule="auto"/>
              <w:ind w:left="29" w:right="-43"/>
              <w:jc w:val="center"/>
              <w:rPr>
                <w:rFonts w:eastAsia="Calibri" w:cs="Times New Roman"/>
                <w:kern w:val="0"/>
                <w:szCs w:val="20"/>
              </w:rPr>
            </w:pPr>
            <w:r>
              <w:rPr>
                <w:rFonts w:eastAsia="Calibri" w:cs="Times New Roman"/>
                <w:kern w:val="0"/>
                <w:szCs w:val="20"/>
              </w:rPr>
              <w:t>0.</w:t>
            </w:r>
            <w:r w:rsidR="0072554E">
              <w:rPr>
                <w:rFonts w:eastAsia="Calibri" w:cs="Times New Roman"/>
                <w:kern w:val="0"/>
                <w:szCs w:val="20"/>
              </w:rPr>
              <w:t>15</w:t>
            </w:r>
          </w:p>
        </w:tc>
        <w:tc>
          <w:tcPr>
            <w:tcW w:w="1733" w:type="dxa"/>
          </w:tcPr>
          <w:p w14:paraId="2DD87D21" w14:textId="61DA1798" w:rsidR="00B56E46" w:rsidRPr="00834397" w:rsidRDefault="0072554E" w:rsidP="00161A02">
            <w:pPr>
              <w:tabs>
                <w:tab w:val="clear" w:pos="284"/>
              </w:tabs>
              <w:spacing w:before="40" w:after="20" w:line="240" w:lineRule="auto"/>
              <w:ind w:left="29" w:right="-43"/>
              <w:jc w:val="center"/>
              <w:rPr>
                <w:rFonts w:eastAsia="Calibri" w:cs="Times New Roman"/>
                <w:kern w:val="0"/>
                <w:szCs w:val="20"/>
              </w:rPr>
            </w:pPr>
            <w:r>
              <w:rPr>
                <w:rFonts w:eastAsia="Calibri" w:cs="Times New Roman"/>
                <w:kern w:val="0"/>
                <w:szCs w:val="20"/>
              </w:rPr>
              <w:t>HCFCD modeling Guidelines, 2018</w:t>
            </w:r>
          </w:p>
        </w:tc>
      </w:tr>
    </w:tbl>
    <w:p w14:paraId="75BE6EB7" w14:textId="3711584F" w:rsidR="00270D3A" w:rsidRDefault="00591D95" w:rsidP="00591D95">
      <w:pPr>
        <w:pStyle w:val="Caption"/>
        <w:jc w:val="center"/>
      </w:pPr>
      <w:r>
        <w:lastRenderedPageBreak/>
        <w:t>Table 8 continued: NLCD 2019</w:t>
      </w:r>
      <w:r w:rsidRPr="0030276A">
        <w:t xml:space="preserve"> Manning's </w:t>
      </w:r>
      <w:r>
        <w:t>n</w:t>
      </w:r>
      <w:r w:rsidRPr="0030276A">
        <w:t xml:space="preserve"> Roughness Matrix</w:t>
      </w:r>
    </w:p>
    <w:tbl>
      <w:tblPr>
        <w:tblStyle w:val="CompassTable"/>
        <w:tblW w:w="8162" w:type="dxa"/>
        <w:jc w:val="center"/>
        <w:tblLook w:val="04A0" w:firstRow="1" w:lastRow="0" w:firstColumn="1" w:lastColumn="0" w:noHBand="0" w:noVBand="1"/>
      </w:tblPr>
      <w:tblGrid>
        <w:gridCol w:w="2642"/>
        <w:gridCol w:w="1373"/>
        <w:gridCol w:w="1207"/>
        <w:gridCol w:w="1207"/>
        <w:gridCol w:w="1733"/>
      </w:tblGrid>
      <w:tr w:rsidR="00591D95" w:rsidRPr="00161A02" w14:paraId="79396819" w14:textId="77777777" w:rsidTr="00740DC1">
        <w:trPr>
          <w:cnfStyle w:val="100000000000" w:firstRow="1" w:lastRow="0" w:firstColumn="0" w:lastColumn="0" w:oddVBand="0" w:evenVBand="0" w:oddHBand="0" w:evenHBand="0" w:firstRowFirstColumn="0" w:firstRowLastColumn="0" w:lastRowFirstColumn="0" w:lastRowLastColumn="0"/>
          <w:trHeight w:val="431"/>
          <w:jc w:val="center"/>
        </w:trPr>
        <w:tc>
          <w:tcPr>
            <w:tcW w:w="2642" w:type="dxa"/>
            <w:vMerge w:val="restart"/>
            <w:shd w:val="clear" w:color="auto" w:fill="00B5E2" w:themeFill="accent1"/>
          </w:tcPr>
          <w:p w14:paraId="5D82E161" w14:textId="77777777" w:rsidR="00591D95" w:rsidRPr="00161A02" w:rsidRDefault="00591D95" w:rsidP="00740DC1">
            <w:pPr>
              <w:tabs>
                <w:tab w:val="clear" w:pos="284"/>
              </w:tabs>
              <w:spacing w:line="240" w:lineRule="auto"/>
              <w:jc w:val="center"/>
              <w:rPr>
                <w:rFonts w:eastAsia="Calibri" w:cs="Times New Roman"/>
                <w:kern w:val="0"/>
                <w:sz w:val="20"/>
                <w:szCs w:val="20"/>
              </w:rPr>
            </w:pPr>
            <w:r w:rsidRPr="00161A02">
              <w:rPr>
                <w:rFonts w:eastAsia="Calibri" w:cs="Times New Roman"/>
                <w:kern w:val="0"/>
                <w:sz w:val="20"/>
                <w:szCs w:val="20"/>
              </w:rPr>
              <w:t>NLCD Classification</w:t>
            </w:r>
          </w:p>
        </w:tc>
        <w:tc>
          <w:tcPr>
            <w:tcW w:w="2580" w:type="dxa"/>
            <w:gridSpan w:val="2"/>
            <w:shd w:val="clear" w:color="auto" w:fill="00B5E2" w:themeFill="accent1"/>
          </w:tcPr>
          <w:p w14:paraId="010D2CBF" w14:textId="77777777" w:rsidR="00591D95" w:rsidRDefault="00591D95" w:rsidP="00740DC1">
            <w:pPr>
              <w:tabs>
                <w:tab w:val="clear" w:pos="284"/>
              </w:tabs>
              <w:spacing w:line="240" w:lineRule="auto"/>
              <w:jc w:val="center"/>
              <w:rPr>
                <w:rFonts w:eastAsia="Calibri" w:cs="Times New Roman"/>
                <w:kern w:val="0"/>
                <w:sz w:val="20"/>
                <w:szCs w:val="20"/>
              </w:rPr>
            </w:pPr>
            <w:r>
              <w:rPr>
                <w:rFonts w:eastAsia="Calibri" w:cs="Times New Roman"/>
                <w:kern w:val="0"/>
                <w:sz w:val="20"/>
                <w:szCs w:val="20"/>
              </w:rPr>
              <w:t>Channel</w:t>
            </w:r>
          </w:p>
        </w:tc>
        <w:tc>
          <w:tcPr>
            <w:tcW w:w="2940" w:type="dxa"/>
            <w:gridSpan w:val="2"/>
            <w:shd w:val="clear" w:color="auto" w:fill="00B5E2" w:themeFill="accent1"/>
          </w:tcPr>
          <w:p w14:paraId="717A3B14" w14:textId="77777777" w:rsidR="00591D95" w:rsidRPr="00161A02" w:rsidRDefault="00591D95" w:rsidP="00740DC1">
            <w:pPr>
              <w:tabs>
                <w:tab w:val="clear" w:pos="284"/>
              </w:tabs>
              <w:spacing w:line="240" w:lineRule="auto"/>
              <w:jc w:val="center"/>
              <w:rPr>
                <w:rFonts w:eastAsia="Calibri" w:cs="Times New Roman"/>
                <w:kern w:val="0"/>
                <w:sz w:val="20"/>
                <w:szCs w:val="20"/>
              </w:rPr>
            </w:pPr>
            <w:r>
              <w:rPr>
                <w:rFonts w:eastAsia="Calibri" w:cs="Times New Roman"/>
                <w:kern w:val="0"/>
                <w:sz w:val="20"/>
                <w:szCs w:val="20"/>
              </w:rPr>
              <w:t>Overbank</w:t>
            </w:r>
          </w:p>
        </w:tc>
      </w:tr>
      <w:tr w:rsidR="00591D95" w:rsidRPr="0007100B" w14:paraId="66CC7BAA" w14:textId="77777777" w:rsidTr="00740DC1">
        <w:trPr>
          <w:cnfStyle w:val="000000100000" w:firstRow="0" w:lastRow="0" w:firstColumn="0" w:lastColumn="0" w:oddVBand="0" w:evenVBand="0" w:oddHBand="1" w:evenHBand="0" w:firstRowFirstColumn="0" w:firstRowLastColumn="0" w:lastRowFirstColumn="0" w:lastRowLastColumn="0"/>
          <w:trHeight w:val="431"/>
          <w:jc w:val="center"/>
        </w:trPr>
        <w:tc>
          <w:tcPr>
            <w:tcW w:w="2642" w:type="dxa"/>
            <w:vMerge/>
            <w:shd w:val="clear" w:color="auto" w:fill="00B5E2" w:themeFill="accent1"/>
          </w:tcPr>
          <w:p w14:paraId="2A5B79CD" w14:textId="77777777" w:rsidR="00591D95" w:rsidRPr="00161A02" w:rsidRDefault="00591D95" w:rsidP="00740DC1">
            <w:pPr>
              <w:tabs>
                <w:tab w:val="clear" w:pos="284"/>
              </w:tabs>
              <w:spacing w:line="240" w:lineRule="auto"/>
              <w:jc w:val="center"/>
              <w:rPr>
                <w:rFonts w:eastAsia="Calibri" w:cs="Times New Roman"/>
                <w:kern w:val="0"/>
                <w:szCs w:val="20"/>
              </w:rPr>
            </w:pPr>
          </w:p>
        </w:tc>
        <w:tc>
          <w:tcPr>
            <w:tcW w:w="1373" w:type="dxa"/>
            <w:shd w:val="clear" w:color="auto" w:fill="00B5E2" w:themeFill="accent1"/>
          </w:tcPr>
          <w:p w14:paraId="125C648C" w14:textId="77777777" w:rsidR="00591D95" w:rsidRPr="0007100B" w:rsidRDefault="00591D95" w:rsidP="00740DC1">
            <w:pPr>
              <w:tabs>
                <w:tab w:val="clear" w:pos="284"/>
              </w:tabs>
              <w:spacing w:line="240" w:lineRule="auto"/>
              <w:jc w:val="center"/>
              <w:rPr>
                <w:rFonts w:eastAsia="Calibri" w:cs="Times New Roman"/>
                <w:b/>
                <w:color w:val="FFFFFF"/>
                <w:kern w:val="0"/>
                <w:szCs w:val="20"/>
              </w:rPr>
            </w:pPr>
            <w:r w:rsidRPr="0007100B">
              <w:rPr>
                <w:rFonts w:eastAsia="Calibri" w:cs="Times New Roman"/>
                <w:b/>
                <w:color w:val="FFFFFF"/>
                <w:kern w:val="0"/>
                <w:szCs w:val="20"/>
              </w:rPr>
              <w:t>N Value</w:t>
            </w:r>
          </w:p>
        </w:tc>
        <w:tc>
          <w:tcPr>
            <w:tcW w:w="1207" w:type="dxa"/>
            <w:shd w:val="clear" w:color="auto" w:fill="00B5E2" w:themeFill="accent1"/>
          </w:tcPr>
          <w:p w14:paraId="7D8A15BD" w14:textId="77777777" w:rsidR="00591D95" w:rsidRPr="0007100B" w:rsidRDefault="00591D95" w:rsidP="00740DC1">
            <w:pPr>
              <w:tabs>
                <w:tab w:val="clear" w:pos="284"/>
              </w:tabs>
              <w:spacing w:line="240" w:lineRule="auto"/>
              <w:jc w:val="center"/>
              <w:rPr>
                <w:rFonts w:eastAsia="Calibri" w:cs="Times New Roman"/>
                <w:b/>
                <w:color w:val="FFFFFF"/>
                <w:kern w:val="0"/>
                <w:szCs w:val="20"/>
              </w:rPr>
            </w:pPr>
            <w:r w:rsidRPr="0007100B">
              <w:rPr>
                <w:rFonts w:eastAsia="Calibri" w:cs="Times New Roman"/>
                <w:b/>
                <w:color w:val="FFFFFF"/>
                <w:kern w:val="0"/>
                <w:szCs w:val="20"/>
              </w:rPr>
              <w:t>Source</w:t>
            </w:r>
          </w:p>
        </w:tc>
        <w:tc>
          <w:tcPr>
            <w:tcW w:w="1207" w:type="dxa"/>
            <w:shd w:val="clear" w:color="auto" w:fill="00B5E2" w:themeFill="accent1"/>
          </w:tcPr>
          <w:p w14:paraId="3570ED6B" w14:textId="77777777" w:rsidR="00591D95" w:rsidRDefault="00591D95" w:rsidP="00740DC1">
            <w:pPr>
              <w:tabs>
                <w:tab w:val="clear" w:pos="284"/>
              </w:tabs>
              <w:spacing w:line="240" w:lineRule="auto"/>
              <w:jc w:val="center"/>
              <w:rPr>
                <w:rFonts w:eastAsia="Calibri" w:cs="Times New Roman"/>
                <w:kern w:val="0"/>
                <w:szCs w:val="20"/>
              </w:rPr>
            </w:pPr>
            <w:r w:rsidRPr="0007100B">
              <w:rPr>
                <w:rFonts w:eastAsia="Calibri" w:cs="Times New Roman"/>
                <w:b/>
                <w:color w:val="FFFFFF"/>
                <w:kern w:val="0"/>
                <w:szCs w:val="20"/>
              </w:rPr>
              <w:t>N Value</w:t>
            </w:r>
          </w:p>
        </w:tc>
        <w:tc>
          <w:tcPr>
            <w:tcW w:w="1733" w:type="dxa"/>
            <w:shd w:val="clear" w:color="auto" w:fill="00B5E2" w:themeFill="accent1"/>
          </w:tcPr>
          <w:p w14:paraId="48510227" w14:textId="77777777" w:rsidR="00591D95" w:rsidRPr="0007100B" w:rsidRDefault="00591D95" w:rsidP="00740DC1">
            <w:pPr>
              <w:tabs>
                <w:tab w:val="clear" w:pos="284"/>
              </w:tabs>
              <w:spacing w:line="240" w:lineRule="auto"/>
              <w:jc w:val="center"/>
              <w:rPr>
                <w:rFonts w:eastAsia="Calibri" w:cs="Times New Roman"/>
                <w:b/>
                <w:color w:val="FFFFFF"/>
                <w:kern w:val="0"/>
                <w:szCs w:val="20"/>
              </w:rPr>
            </w:pPr>
            <w:r w:rsidRPr="0007100B">
              <w:rPr>
                <w:rFonts w:eastAsia="Calibri" w:cs="Times New Roman"/>
                <w:b/>
                <w:color w:val="FFFFFF"/>
                <w:kern w:val="0"/>
                <w:szCs w:val="20"/>
              </w:rPr>
              <w:t>Source</w:t>
            </w:r>
          </w:p>
        </w:tc>
      </w:tr>
      <w:tr w:rsidR="00591D95" w:rsidRPr="00834397" w14:paraId="7E8614B8" w14:textId="77777777" w:rsidTr="00740DC1">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4DB11F5E" w14:textId="4B1247BF" w:rsidR="00591D95" w:rsidRPr="00161A02" w:rsidRDefault="001710CD" w:rsidP="00740DC1">
            <w:pPr>
              <w:tabs>
                <w:tab w:val="clear" w:pos="284"/>
              </w:tabs>
              <w:spacing w:line="240" w:lineRule="auto"/>
              <w:rPr>
                <w:rFonts w:eastAsia="Calibri" w:cs="Times New Roman"/>
                <w:kern w:val="0"/>
                <w:szCs w:val="20"/>
              </w:rPr>
            </w:pPr>
            <w:r>
              <w:rPr>
                <w:rFonts w:eastAsia="Calibri" w:cs="Times New Roman"/>
                <w:kern w:val="0"/>
                <w:szCs w:val="20"/>
              </w:rPr>
              <w:t>Pasture/Hay</w:t>
            </w:r>
          </w:p>
        </w:tc>
        <w:tc>
          <w:tcPr>
            <w:tcW w:w="1373" w:type="dxa"/>
          </w:tcPr>
          <w:p w14:paraId="1F0D4798" w14:textId="5A451187" w:rsidR="00591D95" w:rsidRPr="00632271" w:rsidRDefault="00591D95" w:rsidP="00740DC1">
            <w:pPr>
              <w:keepNext/>
              <w:keepLines/>
              <w:tabs>
                <w:tab w:val="clear" w:pos="284"/>
              </w:tabs>
              <w:spacing w:before="40" w:after="20" w:line="240" w:lineRule="auto"/>
              <w:ind w:left="29" w:right="-43"/>
              <w:jc w:val="center"/>
              <w:rPr>
                <w:rFonts w:eastAsia="Calibri" w:cs="Times New Roman"/>
                <w:kern w:val="0"/>
                <w:szCs w:val="20"/>
              </w:rPr>
            </w:pPr>
            <w:r>
              <w:rPr>
                <w:rFonts w:eastAsia="Calibri" w:cs="Times New Roman"/>
                <w:kern w:val="0"/>
                <w:szCs w:val="20"/>
              </w:rPr>
              <w:t>0.04</w:t>
            </w:r>
          </w:p>
        </w:tc>
        <w:tc>
          <w:tcPr>
            <w:tcW w:w="1207" w:type="dxa"/>
          </w:tcPr>
          <w:p w14:paraId="5B806204" w14:textId="26BE4781" w:rsidR="00591D95" w:rsidRPr="00834397" w:rsidRDefault="00591D95" w:rsidP="00740DC1">
            <w:pPr>
              <w:keepNext/>
              <w:keepLines/>
              <w:tabs>
                <w:tab w:val="clear" w:pos="284"/>
              </w:tabs>
              <w:spacing w:before="40" w:after="20" w:line="240" w:lineRule="auto"/>
              <w:ind w:left="29" w:right="-43"/>
              <w:jc w:val="center"/>
              <w:rPr>
                <w:rFonts w:eastAsia="Calibri" w:cs="Times New Roman"/>
                <w:kern w:val="0"/>
                <w:szCs w:val="20"/>
              </w:rPr>
            </w:pPr>
            <w:r>
              <w:rPr>
                <w:rFonts w:eastAsia="Calibri" w:cs="Times New Roman"/>
                <w:kern w:val="0"/>
                <w:szCs w:val="20"/>
              </w:rPr>
              <w:t>Chow, 1959</w:t>
            </w:r>
          </w:p>
        </w:tc>
        <w:tc>
          <w:tcPr>
            <w:tcW w:w="1207" w:type="dxa"/>
          </w:tcPr>
          <w:p w14:paraId="673D1E73" w14:textId="22FFF07C" w:rsidR="00591D95" w:rsidRPr="00632271" w:rsidRDefault="00591D95" w:rsidP="0072554E">
            <w:pPr>
              <w:keepNext/>
              <w:keepLines/>
              <w:tabs>
                <w:tab w:val="clear" w:pos="284"/>
              </w:tabs>
              <w:spacing w:before="40" w:after="20" w:line="240" w:lineRule="auto"/>
              <w:ind w:left="29" w:right="-43"/>
              <w:jc w:val="center"/>
              <w:rPr>
                <w:rFonts w:eastAsia="Calibri" w:cs="Times New Roman"/>
                <w:kern w:val="0"/>
                <w:szCs w:val="20"/>
              </w:rPr>
            </w:pPr>
            <w:r>
              <w:rPr>
                <w:rFonts w:eastAsia="Calibri" w:cs="Times New Roman"/>
                <w:kern w:val="0"/>
                <w:szCs w:val="20"/>
              </w:rPr>
              <w:t>0.</w:t>
            </w:r>
            <w:r w:rsidR="0072554E">
              <w:rPr>
                <w:rFonts w:eastAsia="Calibri" w:cs="Times New Roman"/>
                <w:kern w:val="0"/>
                <w:szCs w:val="20"/>
              </w:rPr>
              <w:t>15</w:t>
            </w:r>
          </w:p>
        </w:tc>
        <w:tc>
          <w:tcPr>
            <w:tcW w:w="1733" w:type="dxa"/>
          </w:tcPr>
          <w:p w14:paraId="2EC60A4E" w14:textId="26FB8E2E" w:rsidR="00591D95" w:rsidRPr="00834397" w:rsidRDefault="0072554E" w:rsidP="00740DC1">
            <w:pPr>
              <w:keepNext/>
              <w:keepLines/>
              <w:tabs>
                <w:tab w:val="clear" w:pos="284"/>
              </w:tabs>
              <w:spacing w:before="40" w:after="20" w:line="240" w:lineRule="auto"/>
              <w:ind w:left="29" w:right="-43"/>
              <w:jc w:val="center"/>
              <w:rPr>
                <w:rFonts w:eastAsia="Calibri" w:cs="Times New Roman"/>
                <w:kern w:val="0"/>
                <w:szCs w:val="20"/>
              </w:rPr>
            </w:pPr>
            <w:r>
              <w:rPr>
                <w:rFonts w:eastAsia="Calibri" w:cs="Times New Roman"/>
                <w:kern w:val="0"/>
                <w:szCs w:val="20"/>
              </w:rPr>
              <w:t>HCFCD modeling Guidelines, 2018</w:t>
            </w:r>
          </w:p>
        </w:tc>
      </w:tr>
      <w:tr w:rsidR="00591D95" w:rsidRPr="00834397" w14:paraId="67C11FDD" w14:textId="77777777" w:rsidTr="00740DC1">
        <w:trPr>
          <w:cnfStyle w:val="000000100000" w:firstRow="0" w:lastRow="0" w:firstColumn="0" w:lastColumn="0" w:oddVBand="0" w:evenVBand="0" w:oddHBand="1" w:evenHBand="0" w:firstRowFirstColumn="0" w:firstRowLastColumn="0" w:lastRowFirstColumn="0" w:lastRowLastColumn="0"/>
          <w:trHeight w:val="143"/>
          <w:jc w:val="center"/>
        </w:trPr>
        <w:tc>
          <w:tcPr>
            <w:tcW w:w="2642" w:type="dxa"/>
          </w:tcPr>
          <w:p w14:paraId="78D5D47F" w14:textId="5D2AEE9A" w:rsidR="00591D95" w:rsidRPr="00161A02" w:rsidRDefault="0072554E" w:rsidP="00740DC1">
            <w:pPr>
              <w:tabs>
                <w:tab w:val="clear" w:pos="284"/>
              </w:tabs>
              <w:spacing w:line="240" w:lineRule="auto"/>
              <w:rPr>
                <w:rFonts w:eastAsia="Calibri" w:cs="Times New Roman"/>
                <w:kern w:val="0"/>
                <w:szCs w:val="20"/>
              </w:rPr>
            </w:pPr>
            <w:r>
              <w:rPr>
                <w:rFonts w:eastAsia="Calibri" w:cs="Times New Roman"/>
                <w:kern w:val="0"/>
                <w:szCs w:val="20"/>
              </w:rPr>
              <w:t>Cultivated Crops</w:t>
            </w:r>
          </w:p>
        </w:tc>
        <w:tc>
          <w:tcPr>
            <w:tcW w:w="1373" w:type="dxa"/>
          </w:tcPr>
          <w:p w14:paraId="3E45FD81" w14:textId="1C891EE2" w:rsidR="00591D95" w:rsidRPr="00632271" w:rsidRDefault="00591D95" w:rsidP="00740DC1">
            <w:pPr>
              <w:tabs>
                <w:tab w:val="clear" w:pos="284"/>
              </w:tabs>
              <w:spacing w:before="40" w:after="20" w:line="240" w:lineRule="auto"/>
              <w:ind w:left="29" w:right="-43"/>
              <w:jc w:val="center"/>
              <w:rPr>
                <w:rFonts w:eastAsia="Calibri" w:cs="Times New Roman"/>
                <w:kern w:val="0"/>
                <w:szCs w:val="20"/>
              </w:rPr>
            </w:pPr>
            <w:r>
              <w:rPr>
                <w:rFonts w:eastAsia="Calibri" w:cs="Times New Roman"/>
                <w:kern w:val="0"/>
                <w:szCs w:val="20"/>
              </w:rPr>
              <w:t>0.04</w:t>
            </w:r>
          </w:p>
        </w:tc>
        <w:tc>
          <w:tcPr>
            <w:tcW w:w="1207" w:type="dxa"/>
          </w:tcPr>
          <w:p w14:paraId="1E1B10F6" w14:textId="53728537" w:rsidR="00591D95" w:rsidRPr="00834397" w:rsidRDefault="00591D95" w:rsidP="00740DC1">
            <w:pPr>
              <w:tabs>
                <w:tab w:val="clear" w:pos="284"/>
              </w:tabs>
              <w:spacing w:before="40" w:after="20" w:line="240" w:lineRule="auto"/>
              <w:ind w:left="29" w:right="-43"/>
              <w:jc w:val="center"/>
              <w:rPr>
                <w:rFonts w:eastAsia="Calibri" w:cs="Times New Roman"/>
                <w:kern w:val="0"/>
                <w:szCs w:val="20"/>
              </w:rPr>
            </w:pPr>
            <w:r>
              <w:rPr>
                <w:rFonts w:eastAsia="Calibri" w:cs="Times New Roman"/>
                <w:kern w:val="0"/>
                <w:szCs w:val="20"/>
              </w:rPr>
              <w:t>Chow, 1959</w:t>
            </w:r>
          </w:p>
        </w:tc>
        <w:tc>
          <w:tcPr>
            <w:tcW w:w="1207" w:type="dxa"/>
          </w:tcPr>
          <w:p w14:paraId="0F6671B5" w14:textId="0F59912B" w:rsidR="00591D95" w:rsidRPr="00632271" w:rsidRDefault="00591D95" w:rsidP="0072554E">
            <w:pPr>
              <w:tabs>
                <w:tab w:val="clear" w:pos="284"/>
              </w:tabs>
              <w:spacing w:before="40" w:after="20" w:line="240" w:lineRule="auto"/>
              <w:ind w:left="29" w:right="-43"/>
              <w:jc w:val="center"/>
              <w:rPr>
                <w:rFonts w:eastAsia="Calibri" w:cs="Times New Roman"/>
                <w:kern w:val="0"/>
                <w:szCs w:val="20"/>
              </w:rPr>
            </w:pPr>
            <w:r>
              <w:rPr>
                <w:rFonts w:eastAsia="Calibri" w:cs="Times New Roman"/>
                <w:kern w:val="0"/>
                <w:szCs w:val="20"/>
              </w:rPr>
              <w:t>0.</w:t>
            </w:r>
            <w:r w:rsidR="0072554E">
              <w:rPr>
                <w:rFonts w:eastAsia="Calibri" w:cs="Times New Roman"/>
                <w:kern w:val="0"/>
                <w:szCs w:val="20"/>
              </w:rPr>
              <w:t>1</w:t>
            </w:r>
          </w:p>
        </w:tc>
        <w:tc>
          <w:tcPr>
            <w:tcW w:w="1733" w:type="dxa"/>
          </w:tcPr>
          <w:p w14:paraId="6824D30A" w14:textId="248FBA42" w:rsidR="00591D95" w:rsidRPr="00834397" w:rsidRDefault="0072554E" w:rsidP="00740DC1">
            <w:pPr>
              <w:tabs>
                <w:tab w:val="clear" w:pos="284"/>
              </w:tabs>
              <w:spacing w:before="40" w:after="20" w:line="240" w:lineRule="auto"/>
              <w:ind w:left="29" w:right="-43"/>
              <w:jc w:val="center"/>
              <w:rPr>
                <w:rFonts w:eastAsia="Calibri" w:cs="Times New Roman"/>
                <w:kern w:val="0"/>
                <w:szCs w:val="20"/>
              </w:rPr>
            </w:pPr>
            <w:r>
              <w:rPr>
                <w:rFonts w:eastAsia="Calibri" w:cs="Times New Roman"/>
                <w:kern w:val="0"/>
                <w:szCs w:val="20"/>
              </w:rPr>
              <w:t>HCFCD modeling Guidelines, 2018</w:t>
            </w:r>
          </w:p>
        </w:tc>
      </w:tr>
      <w:tr w:rsidR="00591D95" w:rsidRPr="00834397" w14:paraId="2A284EAC" w14:textId="77777777" w:rsidTr="00740DC1">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76F05D70" w14:textId="6DA2CD01" w:rsidR="00591D95" w:rsidRPr="00161A02" w:rsidRDefault="0072554E" w:rsidP="00740DC1">
            <w:pPr>
              <w:tabs>
                <w:tab w:val="clear" w:pos="284"/>
              </w:tabs>
              <w:spacing w:line="240" w:lineRule="auto"/>
              <w:rPr>
                <w:rFonts w:eastAsia="Calibri" w:cs="Times New Roman"/>
                <w:kern w:val="0"/>
                <w:szCs w:val="20"/>
              </w:rPr>
            </w:pPr>
            <w:r>
              <w:rPr>
                <w:rFonts w:eastAsia="Calibri" w:cs="Times New Roman"/>
                <w:kern w:val="0"/>
                <w:szCs w:val="20"/>
              </w:rPr>
              <w:t>Woody Wetlands</w:t>
            </w:r>
          </w:p>
        </w:tc>
        <w:tc>
          <w:tcPr>
            <w:tcW w:w="1373" w:type="dxa"/>
          </w:tcPr>
          <w:p w14:paraId="7E3D9110" w14:textId="21C0778E" w:rsidR="00591D95" w:rsidRPr="00632271" w:rsidRDefault="00591D95" w:rsidP="00740DC1">
            <w:pPr>
              <w:tabs>
                <w:tab w:val="clear" w:pos="284"/>
              </w:tabs>
              <w:spacing w:before="40" w:after="20" w:line="240" w:lineRule="auto"/>
              <w:ind w:left="29" w:right="-43"/>
              <w:jc w:val="center"/>
              <w:rPr>
                <w:rFonts w:eastAsia="Calibri" w:cs="Times New Roman"/>
                <w:kern w:val="0"/>
                <w:szCs w:val="20"/>
              </w:rPr>
            </w:pPr>
            <w:r>
              <w:rPr>
                <w:rFonts w:eastAsia="Calibri" w:cs="Times New Roman"/>
                <w:kern w:val="0"/>
                <w:szCs w:val="20"/>
              </w:rPr>
              <w:t>0.04</w:t>
            </w:r>
          </w:p>
        </w:tc>
        <w:tc>
          <w:tcPr>
            <w:tcW w:w="1207" w:type="dxa"/>
          </w:tcPr>
          <w:p w14:paraId="1AF30AED" w14:textId="6FB753E1" w:rsidR="00591D95" w:rsidRPr="00834397" w:rsidRDefault="00591D95" w:rsidP="00740DC1">
            <w:pPr>
              <w:tabs>
                <w:tab w:val="clear" w:pos="284"/>
              </w:tabs>
              <w:spacing w:before="40" w:after="20" w:line="240" w:lineRule="auto"/>
              <w:ind w:left="29" w:right="-43"/>
              <w:jc w:val="center"/>
              <w:rPr>
                <w:rFonts w:eastAsia="Calibri" w:cs="Times New Roman"/>
                <w:kern w:val="0"/>
                <w:szCs w:val="20"/>
              </w:rPr>
            </w:pPr>
            <w:r>
              <w:rPr>
                <w:rFonts w:eastAsia="Calibri" w:cs="Times New Roman"/>
                <w:kern w:val="0"/>
                <w:szCs w:val="20"/>
              </w:rPr>
              <w:t>Chow, 1959</w:t>
            </w:r>
          </w:p>
        </w:tc>
        <w:tc>
          <w:tcPr>
            <w:tcW w:w="1207" w:type="dxa"/>
          </w:tcPr>
          <w:p w14:paraId="78F6E02A" w14:textId="08490FFA" w:rsidR="00591D95" w:rsidRPr="00632271" w:rsidRDefault="00591D95" w:rsidP="0072554E">
            <w:pPr>
              <w:tabs>
                <w:tab w:val="clear" w:pos="284"/>
              </w:tabs>
              <w:spacing w:before="40" w:after="20" w:line="240" w:lineRule="auto"/>
              <w:ind w:left="29" w:right="-43"/>
              <w:jc w:val="center"/>
              <w:rPr>
                <w:rFonts w:eastAsia="Calibri" w:cs="Times New Roman"/>
                <w:kern w:val="0"/>
                <w:szCs w:val="20"/>
              </w:rPr>
            </w:pPr>
            <w:r>
              <w:rPr>
                <w:rFonts w:eastAsia="Calibri" w:cs="Times New Roman"/>
                <w:kern w:val="0"/>
                <w:szCs w:val="20"/>
              </w:rPr>
              <w:t>0.</w:t>
            </w:r>
            <w:r w:rsidR="0072554E">
              <w:rPr>
                <w:rFonts w:eastAsia="Calibri" w:cs="Times New Roman"/>
                <w:kern w:val="0"/>
                <w:szCs w:val="20"/>
              </w:rPr>
              <w:t>12</w:t>
            </w:r>
          </w:p>
        </w:tc>
        <w:tc>
          <w:tcPr>
            <w:tcW w:w="1733" w:type="dxa"/>
          </w:tcPr>
          <w:p w14:paraId="3202A2B2" w14:textId="38E9476D" w:rsidR="00591D95" w:rsidRPr="00834397" w:rsidRDefault="00591D95" w:rsidP="00740DC1">
            <w:pPr>
              <w:tabs>
                <w:tab w:val="clear" w:pos="284"/>
              </w:tabs>
              <w:spacing w:before="40" w:after="20" w:line="240" w:lineRule="auto"/>
              <w:ind w:left="29" w:right="-43"/>
              <w:jc w:val="center"/>
              <w:rPr>
                <w:rFonts w:eastAsia="Calibri" w:cs="Times New Roman"/>
                <w:kern w:val="0"/>
                <w:szCs w:val="20"/>
              </w:rPr>
            </w:pPr>
            <w:r>
              <w:rPr>
                <w:rFonts w:eastAsia="Calibri" w:cs="Times New Roman"/>
                <w:kern w:val="0"/>
                <w:szCs w:val="20"/>
              </w:rPr>
              <w:t>NRCS KS Dam Bre</w:t>
            </w:r>
            <w:r w:rsidR="0072554E">
              <w:rPr>
                <w:rFonts w:eastAsia="Calibri" w:cs="Times New Roman"/>
                <w:kern w:val="0"/>
                <w:szCs w:val="20"/>
              </w:rPr>
              <w:t>a</w:t>
            </w:r>
            <w:r>
              <w:rPr>
                <w:rFonts w:eastAsia="Calibri" w:cs="Times New Roman"/>
                <w:kern w:val="0"/>
                <w:szCs w:val="20"/>
              </w:rPr>
              <w:t>ch, 2016</w:t>
            </w:r>
          </w:p>
        </w:tc>
      </w:tr>
      <w:tr w:rsidR="00591D95" w:rsidRPr="00834397" w14:paraId="19E7A016" w14:textId="77777777" w:rsidTr="00740DC1">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675EE550" w14:textId="7A4ACB51" w:rsidR="00591D95" w:rsidRPr="00161A02" w:rsidRDefault="0072554E" w:rsidP="0072554E">
            <w:pPr>
              <w:tabs>
                <w:tab w:val="clear" w:pos="284"/>
              </w:tabs>
              <w:spacing w:line="240" w:lineRule="auto"/>
              <w:rPr>
                <w:rFonts w:eastAsia="Calibri" w:cs="Times New Roman"/>
                <w:kern w:val="0"/>
                <w:szCs w:val="20"/>
              </w:rPr>
            </w:pPr>
            <w:r>
              <w:rPr>
                <w:rFonts w:eastAsia="Calibri" w:cs="Times New Roman"/>
                <w:kern w:val="0"/>
                <w:szCs w:val="20"/>
              </w:rPr>
              <w:t xml:space="preserve">Emergent Herbaceous </w:t>
            </w:r>
            <w:r w:rsidR="00591D95">
              <w:rPr>
                <w:rFonts w:eastAsia="Calibri" w:cs="Times New Roman"/>
                <w:kern w:val="0"/>
                <w:szCs w:val="20"/>
              </w:rPr>
              <w:t>Wetland</w:t>
            </w:r>
          </w:p>
        </w:tc>
        <w:tc>
          <w:tcPr>
            <w:tcW w:w="1373" w:type="dxa"/>
          </w:tcPr>
          <w:p w14:paraId="3E901D2E" w14:textId="23B6B69F" w:rsidR="00591D95" w:rsidRPr="00632271" w:rsidRDefault="00591D95" w:rsidP="00740DC1">
            <w:pPr>
              <w:tabs>
                <w:tab w:val="clear" w:pos="284"/>
              </w:tabs>
              <w:spacing w:before="40" w:after="20" w:line="240" w:lineRule="auto"/>
              <w:ind w:left="29" w:right="-43"/>
              <w:jc w:val="center"/>
              <w:rPr>
                <w:rFonts w:eastAsia="Calibri" w:cs="Times New Roman"/>
                <w:kern w:val="0"/>
                <w:szCs w:val="20"/>
              </w:rPr>
            </w:pPr>
            <w:r>
              <w:rPr>
                <w:rFonts w:eastAsia="Calibri" w:cs="Times New Roman"/>
                <w:kern w:val="0"/>
                <w:szCs w:val="20"/>
              </w:rPr>
              <w:t>0.04</w:t>
            </w:r>
          </w:p>
        </w:tc>
        <w:tc>
          <w:tcPr>
            <w:tcW w:w="1207" w:type="dxa"/>
          </w:tcPr>
          <w:p w14:paraId="39BC55DD" w14:textId="3388C695" w:rsidR="00591D95" w:rsidRPr="00834397" w:rsidRDefault="00591D95" w:rsidP="00740DC1">
            <w:pPr>
              <w:tabs>
                <w:tab w:val="clear" w:pos="284"/>
              </w:tabs>
              <w:spacing w:before="40" w:after="20" w:line="240" w:lineRule="auto"/>
              <w:ind w:left="29" w:right="-43"/>
              <w:jc w:val="center"/>
              <w:rPr>
                <w:rFonts w:eastAsia="Calibri" w:cs="Times New Roman"/>
                <w:kern w:val="0"/>
                <w:szCs w:val="20"/>
              </w:rPr>
            </w:pPr>
            <w:r>
              <w:rPr>
                <w:rFonts w:eastAsia="Calibri" w:cs="Times New Roman"/>
                <w:kern w:val="0"/>
                <w:szCs w:val="20"/>
              </w:rPr>
              <w:t>Chow, 1959</w:t>
            </w:r>
          </w:p>
        </w:tc>
        <w:tc>
          <w:tcPr>
            <w:tcW w:w="1207" w:type="dxa"/>
          </w:tcPr>
          <w:p w14:paraId="0936C532" w14:textId="5CF6FBF9" w:rsidR="00591D95" w:rsidRPr="00632271" w:rsidRDefault="00591D95" w:rsidP="0072554E">
            <w:pPr>
              <w:tabs>
                <w:tab w:val="clear" w:pos="284"/>
              </w:tabs>
              <w:spacing w:before="40" w:after="20" w:line="240" w:lineRule="auto"/>
              <w:ind w:left="29" w:right="-43"/>
              <w:jc w:val="center"/>
              <w:rPr>
                <w:rFonts w:eastAsia="Calibri" w:cs="Times New Roman"/>
                <w:kern w:val="0"/>
                <w:szCs w:val="20"/>
              </w:rPr>
            </w:pPr>
            <w:r>
              <w:rPr>
                <w:rFonts w:eastAsia="Calibri" w:cs="Times New Roman"/>
                <w:kern w:val="0"/>
                <w:szCs w:val="20"/>
              </w:rPr>
              <w:t>0.</w:t>
            </w:r>
            <w:r w:rsidR="0072554E">
              <w:rPr>
                <w:rFonts w:eastAsia="Calibri" w:cs="Times New Roman"/>
                <w:kern w:val="0"/>
                <w:szCs w:val="20"/>
              </w:rPr>
              <w:t>07</w:t>
            </w:r>
          </w:p>
        </w:tc>
        <w:tc>
          <w:tcPr>
            <w:tcW w:w="1733" w:type="dxa"/>
          </w:tcPr>
          <w:p w14:paraId="1537D4B3" w14:textId="6865E514" w:rsidR="00591D95" w:rsidRPr="00834397" w:rsidRDefault="00591D95" w:rsidP="00740DC1">
            <w:pPr>
              <w:tabs>
                <w:tab w:val="clear" w:pos="284"/>
              </w:tabs>
              <w:spacing w:before="40" w:after="20" w:line="240" w:lineRule="auto"/>
              <w:ind w:left="29" w:right="-43"/>
              <w:jc w:val="center"/>
              <w:rPr>
                <w:rFonts w:eastAsia="Calibri" w:cs="Times New Roman"/>
                <w:kern w:val="0"/>
                <w:szCs w:val="20"/>
              </w:rPr>
            </w:pPr>
            <w:r>
              <w:rPr>
                <w:rFonts w:eastAsia="Calibri" w:cs="Times New Roman"/>
                <w:kern w:val="0"/>
                <w:szCs w:val="20"/>
              </w:rPr>
              <w:t>NRCS KS Dam Bre</w:t>
            </w:r>
            <w:r w:rsidR="0072554E">
              <w:rPr>
                <w:rFonts w:eastAsia="Calibri" w:cs="Times New Roman"/>
                <w:kern w:val="0"/>
                <w:szCs w:val="20"/>
              </w:rPr>
              <w:t>a</w:t>
            </w:r>
            <w:r>
              <w:rPr>
                <w:rFonts w:eastAsia="Calibri" w:cs="Times New Roman"/>
                <w:kern w:val="0"/>
                <w:szCs w:val="20"/>
              </w:rPr>
              <w:t>ch, 2016</w:t>
            </w:r>
          </w:p>
        </w:tc>
      </w:tr>
    </w:tbl>
    <w:p w14:paraId="6E3BF5AE" w14:textId="77777777" w:rsidR="00591D95" w:rsidRDefault="00591D95" w:rsidP="0048315A">
      <w:pPr>
        <w:pStyle w:val="BodyText"/>
      </w:pPr>
    </w:p>
    <w:p w14:paraId="657B4FB7" w14:textId="77777777" w:rsidR="00976A14" w:rsidRDefault="00976A14" w:rsidP="00E51B3A">
      <w:pPr>
        <w:pStyle w:val="Heading4"/>
      </w:pPr>
      <w:bookmarkStart w:id="65" w:name="_Toc112244131"/>
      <w:r>
        <w:t>Breaklines</w:t>
      </w:r>
      <w:bookmarkEnd w:id="65"/>
    </w:p>
    <w:p w14:paraId="46AE13D8" w14:textId="09305423" w:rsidR="0048315A" w:rsidRDefault="00161A02" w:rsidP="00230830">
      <w:pPr>
        <w:pStyle w:val="BodyText"/>
      </w:pPr>
      <w:r w:rsidRPr="00161A02">
        <w:t>Breaklines align grid cell faces and were used within the 2D mesh area to define prominent features including road embankments and hydraulic structures. Road embankment features were delineat</w:t>
      </w:r>
      <w:r w:rsidR="000E148A">
        <w:t>ed in GIS and imported into RAS6</w:t>
      </w:r>
      <w:r w:rsidRPr="00161A02">
        <w:t xml:space="preserve"> as breaklines to contain water where appropriate. Similarly, significant bridge/culvert crossings that were not processed out of the terrain data were modeled by </w:t>
      </w:r>
      <w:r w:rsidR="0086558D">
        <w:t>v-notch</w:t>
      </w:r>
      <w:r w:rsidRPr="00161A02">
        <w:t xml:space="preserve"> breaklines adjacent to the road embankment to align grid cells around the embankment and allow water to be routed through the embankment without creating artificial backwater. An example of the </w:t>
      </w:r>
      <w:r w:rsidR="0086558D">
        <w:t>v-notch</w:t>
      </w:r>
      <w:r w:rsidRPr="00161A02">
        <w:t xml:space="preserve"> breakline approach is shown </w:t>
      </w:r>
      <w:r w:rsidR="00C026C8">
        <w:t xml:space="preserve">in </w:t>
      </w:r>
      <w:r w:rsidR="0086558D">
        <w:fldChar w:fldCharType="begin"/>
      </w:r>
      <w:r w:rsidR="0086558D">
        <w:instrText xml:space="preserve"> REF _Ref61262552 \h </w:instrText>
      </w:r>
      <w:r w:rsidR="0086558D">
        <w:fldChar w:fldCharType="separate"/>
      </w:r>
      <w:r w:rsidR="007D7CA7">
        <w:t xml:space="preserve">Figure </w:t>
      </w:r>
      <w:r w:rsidR="007D7CA7">
        <w:rPr>
          <w:noProof/>
        </w:rPr>
        <w:t>6</w:t>
      </w:r>
      <w:r w:rsidR="0086558D">
        <w:fldChar w:fldCharType="end"/>
      </w:r>
      <w:r w:rsidRPr="00161A02">
        <w:t>.</w:t>
      </w:r>
    </w:p>
    <w:p w14:paraId="1F3C22AF" w14:textId="2D3024A1" w:rsidR="0086558D" w:rsidRDefault="0086558D" w:rsidP="00230830">
      <w:pPr>
        <w:pStyle w:val="BodyText"/>
      </w:pPr>
      <w:r w:rsidRPr="0086558D">
        <w:t>County, interstate, common name, state recognized</w:t>
      </w:r>
      <w:r w:rsidR="00ED6F3B">
        <w:t xml:space="preserve">, </w:t>
      </w:r>
      <w:r w:rsidRPr="0086558D">
        <w:t xml:space="preserve">and U.S. roads were incorporated for road breaklines from the U.S. Census Bureau TIGER/Line road layer.  </w:t>
      </w:r>
    </w:p>
    <w:p w14:paraId="610B458D" w14:textId="20AABDF4" w:rsidR="00D26D53" w:rsidRDefault="00D26D53" w:rsidP="00D26D53">
      <w:pPr>
        <w:pStyle w:val="BodyText"/>
      </w:pPr>
      <w:r w:rsidRPr="00950581">
        <w:t xml:space="preserve">Private dams were not modeled as showing protection. This is to lessen the burden on private dam owners to maintain their dams in order to sustain the regulatory products </w:t>
      </w:r>
      <w:r w:rsidR="00D51893">
        <w:t>that could be</w:t>
      </w:r>
      <w:r w:rsidR="00C974D3">
        <w:t xml:space="preserve"> </w:t>
      </w:r>
      <w:r w:rsidRPr="00950581">
        <w:t>created</w:t>
      </w:r>
      <w:r w:rsidR="00D51893">
        <w:t xml:space="preserve"> in the future </w:t>
      </w:r>
      <w:r w:rsidRPr="00950581">
        <w:t>as a result of this study.</w:t>
      </w:r>
      <w:r w:rsidR="00950581" w:rsidRPr="00950581">
        <w:t xml:space="preserve"> </w:t>
      </w:r>
      <w:r w:rsidR="00950581">
        <w:t>The study area does not inc</w:t>
      </w:r>
      <w:r w:rsidR="00B71F73">
        <w:t>lude any FEMA accredited levees, or large publicly owned dams.</w:t>
      </w:r>
      <w:r w:rsidR="0072554E">
        <w:t xml:space="preserve"> Please see the Leon 2D BLE report and modeling for information related to modeling of Belton Lake &amp; Dam.</w:t>
      </w:r>
    </w:p>
    <w:p w14:paraId="74A7C366" w14:textId="70276185" w:rsidR="006A1D08" w:rsidRPr="00193BD7" w:rsidRDefault="00D26D53" w:rsidP="00D26D53">
      <w:pPr>
        <w:pStyle w:val="BodyText"/>
      </w:pPr>
      <w:r>
        <w:t>Breaklines were also used along all the stream centerlines of streams draining greater than one square mile of drainage area</w:t>
      </w:r>
      <w:r w:rsidR="00855CC9">
        <w:t>, and 0.5 square miles of drainage area within densely populated areas</w:t>
      </w:r>
      <w:r>
        <w:t xml:space="preserve">. </w:t>
      </w:r>
      <w:r w:rsidR="00773C8E" w:rsidRPr="00773C8E">
        <w:t>Each streamline was topo-derived and the stream centerline was enforced with 100 feet cell spacing in order to align cells along the stream line and capture more detail along the one square mile stream network.</w:t>
      </w:r>
      <w:r w:rsidR="00B71F73">
        <w:t xml:space="preserve"> Streamline alignment was also hand checked</w:t>
      </w:r>
      <w:r w:rsidR="00ED6F3B">
        <w:t xml:space="preserve"> with the terrain</w:t>
      </w:r>
      <w:r w:rsidR="00B71F73">
        <w:t xml:space="preserve"> by the modeler to ensure accuracy.</w:t>
      </w:r>
      <w:r w:rsidR="00773C8E" w:rsidRPr="00773C8E">
        <w:t xml:space="preserve"> Stream names were referenced from other sources such as NFHL and NHD datasets.</w:t>
      </w:r>
      <w:r w:rsidR="00B71F73">
        <w:t xml:space="preserve"> In the HEC-RAS model</w:t>
      </w:r>
      <w:r w:rsidR="00ED6F3B">
        <w:t>,</w:t>
      </w:r>
      <w:r w:rsidR="00B71F73">
        <w:t xml:space="preserve"> streams that passed through densely populated regions</w:t>
      </w:r>
      <w:r w:rsidR="00ED6F3B">
        <w:t xml:space="preserve"> were enforced as breaklines using 50ft cell spacing</w:t>
      </w:r>
      <w:r w:rsidR="00B71F73">
        <w:t xml:space="preserve">. </w:t>
      </w:r>
    </w:p>
    <w:p w14:paraId="74A882CC" w14:textId="77777777" w:rsidR="00D55F6F" w:rsidRDefault="004F2446" w:rsidP="004F2446">
      <w:pPr>
        <w:pStyle w:val="Numberedtext"/>
        <w:keepNext/>
        <w:numPr>
          <w:ilvl w:val="0"/>
          <w:numId w:val="0"/>
        </w:numPr>
        <w:jc w:val="center"/>
      </w:pPr>
      <w:r>
        <w:rPr>
          <w:noProof/>
        </w:rPr>
        <w:lastRenderedPageBreak/>
        <w:drawing>
          <wp:inline distT="0" distB="0" distL="0" distR="0" wp14:anchorId="2A06F5FC" wp14:editId="68177FAA">
            <wp:extent cx="4434956" cy="4852267"/>
            <wp:effectExtent l="0" t="0" r="3810" b="571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4434956" cy="4852267"/>
                    </a:xfrm>
                    <a:prstGeom prst="rect">
                      <a:avLst/>
                    </a:prstGeom>
                  </pic:spPr>
                </pic:pic>
              </a:graphicData>
            </a:graphic>
          </wp:inline>
        </w:drawing>
      </w:r>
    </w:p>
    <w:p w14:paraId="53220C9C" w14:textId="40026A76" w:rsidR="007A12B7" w:rsidRPr="007A12B7" w:rsidRDefault="00D55F6F" w:rsidP="007A12B7">
      <w:pPr>
        <w:pStyle w:val="Caption"/>
        <w:jc w:val="center"/>
      </w:pPr>
      <w:bookmarkStart w:id="66" w:name="_Ref61262552"/>
      <w:bookmarkStart w:id="67" w:name="_Toc112244160"/>
      <w:r>
        <w:t xml:space="preserve">Figure </w:t>
      </w:r>
      <w:r>
        <w:fldChar w:fldCharType="begin"/>
      </w:r>
      <w:r>
        <w:instrText xml:space="preserve"> SEQ Figure \* ARABIC </w:instrText>
      </w:r>
      <w:r>
        <w:fldChar w:fldCharType="separate"/>
      </w:r>
      <w:r w:rsidR="007D7CA7">
        <w:rPr>
          <w:noProof/>
        </w:rPr>
        <w:t>6</w:t>
      </w:r>
      <w:r>
        <w:fldChar w:fldCharType="end"/>
      </w:r>
      <w:bookmarkEnd w:id="66"/>
      <w:r>
        <w:t xml:space="preserve">: </w:t>
      </w:r>
      <w:r w:rsidR="0086558D">
        <w:t>V-notch</w:t>
      </w:r>
      <w:r w:rsidRPr="000C1FC9">
        <w:t xml:space="preserve"> Breakline Approach at Bridge Crossing</w:t>
      </w:r>
      <w:bookmarkEnd w:id="67"/>
      <w:r w:rsidR="007A12B7">
        <w:br/>
      </w:r>
    </w:p>
    <w:p w14:paraId="79871174" w14:textId="77777777" w:rsidR="00976A14" w:rsidRDefault="0048315A" w:rsidP="00E51B3A">
      <w:pPr>
        <w:pStyle w:val="Heading4"/>
      </w:pPr>
      <w:bookmarkStart w:id="68" w:name="_Toc112244132"/>
      <w:r>
        <w:t>Refinement Regions</w:t>
      </w:r>
      <w:bookmarkEnd w:id="68"/>
    </w:p>
    <w:p w14:paraId="38FF651B" w14:textId="6746E105" w:rsidR="001E6F4A" w:rsidRDefault="00161A02" w:rsidP="00230830">
      <w:pPr>
        <w:pStyle w:val="BodyText"/>
      </w:pPr>
      <w:r w:rsidRPr="00161A02">
        <w:t xml:space="preserve">Refinement regions were created for each community within the </w:t>
      </w:r>
      <w:r w:rsidR="000462A0">
        <w:t>model</w:t>
      </w:r>
      <w:r w:rsidRPr="00161A02">
        <w:t>. The political boundary was used to determine the shape of the refinement region</w:t>
      </w:r>
      <w:r w:rsidR="002A7ED7">
        <w:t xml:space="preserve">, and the </w:t>
      </w:r>
      <w:r w:rsidRPr="00161A02">
        <w:t xml:space="preserve">regions were assigned a cell spacing of 50 feet by 50 feet.  This finer cell spacing allows for more hydraulic calculations and mapping detail near areas where there are likely to be more structures. </w:t>
      </w:r>
      <w:r w:rsidR="001957EB">
        <w:fldChar w:fldCharType="begin"/>
      </w:r>
      <w:r w:rsidR="001957EB">
        <w:instrText xml:space="preserve"> REF _Ref95309377 \h </w:instrText>
      </w:r>
      <w:r w:rsidR="001957EB">
        <w:fldChar w:fldCharType="separate"/>
      </w:r>
      <w:r w:rsidR="007D7CA7">
        <w:t xml:space="preserve">Table </w:t>
      </w:r>
      <w:r w:rsidR="007D7CA7">
        <w:rPr>
          <w:noProof/>
        </w:rPr>
        <w:t>9</w:t>
      </w:r>
      <w:r w:rsidR="001957EB">
        <w:fldChar w:fldCharType="end"/>
      </w:r>
      <w:r w:rsidR="001957EB">
        <w:t xml:space="preserve"> </w:t>
      </w:r>
      <w:r w:rsidRPr="00161A02">
        <w:t xml:space="preserve">shows the communities contained within </w:t>
      </w:r>
      <w:r w:rsidR="00855CC9">
        <w:t>Cowhouse</w:t>
      </w:r>
      <w:r w:rsidR="00F05AAD">
        <w:t xml:space="preserve"> </w:t>
      </w:r>
      <w:r w:rsidR="003624E2">
        <w:t xml:space="preserve">watershed that were </w:t>
      </w:r>
      <w:r w:rsidR="00B014BF">
        <w:t>modeled with refinement regions as well as the square mileage of the refinement region.</w:t>
      </w:r>
    </w:p>
    <w:p w14:paraId="46D650E9" w14:textId="633298DF" w:rsidR="00A315D3" w:rsidRDefault="00A315D3" w:rsidP="00230830">
      <w:pPr>
        <w:pStyle w:val="Caption"/>
        <w:jc w:val="center"/>
      </w:pPr>
      <w:bookmarkStart w:id="69" w:name="_Ref95309377"/>
      <w:bookmarkStart w:id="70" w:name="_Toc112244172"/>
      <w:r>
        <w:t xml:space="preserve">Table </w:t>
      </w:r>
      <w:r w:rsidR="0047146E">
        <w:fldChar w:fldCharType="begin"/>
      </w:r>
      <w:r w:rsidR="0047146E">
        <w:instrText xml:space="preserve"> SEQ Table \* ARABIC </w:instrText>
      </w:r>
      <w:r w:rsidR="0047146E">
        <w:fldChar w:fldCharType="separate"/>
      </w:r>
      <w:r w:rsidR="007D7CA7">
        <w:rPr>
          <w:noProof/>
        </w:rPr>
        <w:t>9</w:t>
      </w:r>
      <w:r w:rsidR="0047146E">
        <w:fldChar w:fldCharType="end"/>
      </w:r>
      <w:bookmarkEnd w:id="69"/>
      <w:r>
        <w:t>: Communities with 2D Mesh Refinement</w:t>
      </w:r>
      <w:bookmarkEnd w:id="70"/>
    </w:p>
    <w:tbl>
      <w:tblPr>
        <w:tblStyle w:val="CompassTable"/>
        <w:tblW w:w="4519" w:type="dxa"/>
        <w:jc w:val="center"/>
        <w:tblLayout w:type="fixed"/>
        <w:tblLook w:val="0020" w:firstRow="1" w:lastRow="0" w:firstColumn="0" w:lastColumn="0" w:noHBand="0" w:noVBand="0"/>
      </w:tblPr>
      <w:tblGrid>
        <w:gridCol w:w="3134"/>
        <w:gridCol w:w="1385"/>
      </w:tblGrid>
      <w:tr w:rsidR="0086558D" w14:paraId="538FA74D" w14:textId="77777777" w:rsidTr="00700796">
        <w:trPr>
          <w:cnfStyle w:val="100000000000" w:firstRow="1" w:lastRow="0" w:firstColumn="0" w:lastColumn="0" w:oddVBand="0" w:evenVBand="0" w:oddHBand="0" w:evenHBand="0" w:firstRowFirstColumn="0" w:firstRowLastColumn="0" w:lastRowFirstColumn="0" w:lastRowLastColumn="0"/>
          <w:trHeight w:val="334"/>
          <w:jc w:val="center"/>
        </w:trPr>
        <w:tc>
          <w:tcPr>
            <w:tcW w:w="3134" w:type="dxa"/>
            <w:shd w:val="clear" w:color="auto" w:fill="00B5E2" w:themeFill="accent1"/>
          </w:tcPr>
          <w:p w14:paraId="26EAC4AD" w14:textId="77777777" w:rsidR="0086558D" w:rsidRPr="000A3B6D" w:rsidRDefault="0086558D" w:rsidP="0086558D">
            <w:pPr>
              <w:tabs>
                <w:tab w:val="clear" w:pos="284"/>
              </w:tabs>
              <w:autoSpaceDE w:val="0"/>
              <w:autoSpaceDN w:val="0"/>
              <w:adjustRightInd w:val="0"/>
              <w:spacing w:line="240" w:lineRule="auto"/>
              <w:rPr>
                <w:rFonts w:cs="Calibri"/>
                <w:color w:val="FFFFFF" w:themeColor="background1"/>
                <w:kern w:val="0"/>
              </w:rPr>
            </w:pPr>
            <w:r w:rsidRPr="000A3B6D">
              <w:rPr>
                <w:rFonts w:cs="Calibri"/>
                <w:color w:val="FFFFFF" w:themeColor="background1"/>
                <w:kern w:val="0"/>
              </w:rPr>
              <w:t>Community Name</w:t>
            </w:r>
          </w:p>
        </w:tc>
        <w:tc>
          <w:tcPr>
            <w:tcW w:w="1385" w:type="dxa"/>
            <w:shd w:val="clear" w:color="auto" w:fill="00B5E2" w:themeFill="accent1"/>
          </w:tcPr>
          <w:p w14:paraId="1787E602" w14:textId="77777777" w:rsidR="0086558D" w:rsidRPr="000A3B6D" w:rsidRDefault="0086558D">
            <w:pPr>
              <w:tabs>
                <w:tab w:val="clear" w:pos="284"/>
              </w:tabs>
              <w:autoSpaceDE w:val="0"/>
              <w:autoSpaceDN w:val="0"/>
              <w:adjustRightInd w:val="0"/>
              <w:spacing w:line="240" w:lineRule="auto"/>
              <w:rPr>
                <w:rFonts w:cs="Calibri"/>
                <w:color w:val="FFFFFF" w:themeColor="background1"/>
                <w:kern w:val="0"/>
              </w:rPr>
            </w:pPr>
            <w:r w:rsidRPr="000A3B6D">
              <w:rPr>
                <w:rFonts w:cs="Calibri"/>
                <w:color w:val="FFFFFF" w:themeColor="background1"/>
                <w:kern w:val="0"/>
              </w:rPr>
              <w:t>Area (mi</w:t>
            </w:r>
            <w:r w:rsidRPr="000A3B6D">
              <w:rPr>
                <w:rFonts w:cs="Calibri"/>
                <w:color w:val="FFFFFF" w:themeColor="background1"/>
                <w:kern w:val="0"/>
                <w:vertAlign w:val="superscript"/>
              </w:rPr>
              <w:t>2</w:t>
            </w:r>
            <w:r w:rsidRPr="000A3B6D">
              <w:rPr>
                <w:rFonts w:cs="Calibri"/>
                <w:color w:val="FFFFFF" w:themeColor="background1"/>
                <w:kern w:val="0"/>
              </w:rPr>
              <w:t>)</w:t>
            </w:r>
          </w:p>
        </w:tc>
      </w:tr>
      <w:tr w:rsidR="00140050" w14:paraId="14CC968C" w14:textId="77777777" w:rsidTr="00700796">
        <w:trPr>
          <w:cnfStyle w:val="000000100000" w:firstRow="0" w:lastRow="0" w:firstColumn="0" w:lastColumn="0" w:oddVBand="0" w:evenVBand="0" w:oddHBand="1" w:evenHBand="0" w:firstRowFirstColumn="0" w:firstRowLastColumn="0" w:lastRowFirstColumn="0" w:lastRowLastColumn="0"/>
          <w:trHeight w:val="290"/>
          <w:jc w:val="center"/>
        </w:trPr>
        <w:tc>
          <w:tcPr>
            <w:tcW w:w="3134" w:type="dxa"/>
            <w:vAlign w:val="top"/>
          </w:tcPr>
          <w:p w14:paraId="4912273D" w14:textId="0E6C7EFE" w:rsidR="00140050" w:rsidRPr="00193BD7" w:rsidRDefault="00EC35AD" w:rsidP="000A3B6D">
            <w:pPr>
              <w:tabs>
                <w:tab w:val="clear" w:pos="284"/>
              </w:tabs>
              <w:autoSpaceDE w:val="0"/>
              <w:autoSpaceDN w:val="0"/>
              <w:adjustRightInd w:val="0"/>
              <w:spacing w:line="240" w:lineRule="auto"/>
              <w:jc w:val="center"/>
              <w:rPr>
                <w:rFonts w:cs="Calibri"/>
                <w:color w:val="auto"/>
                <w:kern w:val="0"/>
                <w:szCs w:val="20"/>
              </w:rPr>
            </w:pPr>
            <w:r>
              <w:rPr>
                <w:color w:val="auto"/>
                <w:szCs w:val="20"/>
              </w:rPr>
              <w:t>Copperas Cove City</w:t>
            </w:r>
          </w:p>
        </w:tc>
        <w:tc>
          <w:tcPr>
            <w:tcW w:w="1385" w:type="dxa"/>
            <w:vAlign w:val="top"/>
          </w:tcPr>
          <w:p w14:paraId="58782913" w14:textId="48F52850" w:rsidR="00140050" w:rsidRPr="00193BD7" w:rsidRDefault="0083243A" w:rsidP="000A3B6D">
            <w:pPr>
              <w:tabs>
                <w:tab w:val="clear" w:pos="284"/>
              </w:tabs>
              <w:autoSpaceDE w:val="0"/>
              <w:autoSpaceDN w:val="0"/>
              <w:adjustRightInd w:val="0"/>
              <w:spacing w:line="240" w:lineRule="auto"/>
              <w:jc w:val="center"/>
              <w:rPr>
                <w:rFonts w:cs="Calibri"/>
                <w:color w:val="auto"/>
                <w:kern w:val="0"/>
                <w:szCs w:val="20"/>
              </w:rPr>
            </w:pPr>
            <w:r>
              <w:t>10.01</w:t>
            </w:r>
          </w:p>
        </w:tc>
      </w:tr>
      <w:tr w:rsidR="00140050" w14:paraId="340A74D8" w14:textId="77777777" w:rsidTr="00700796">
        <w:trPr>
          <w:cnfStyle w:val="000000010000" w:firstRow="0" w:lastRow="0" w:firstColumn="0" w:lastColumn="0" w:oddVBand="0" w:evenVBand="0" w:oddHBand="0" w:evenHBand="1" w:firstRowFirstColumn="0" w:firstRowLastColumn="0" w:lastRowFirstColumn="0" w:lastRowLastColumn="0"/>
          <w:trHeight w:val="290"/>
          <w:jc w:val="center"/>
        </w:trPr>
        <w:tc>
          <w:tcPr>
            <w:tcW w:w="3134" w:type="dxa"/>
            <w:vAlign w:val="top"/>
          </w:tcPr>
          <w:p w14:paraId="4D917339" w14:textId="108E876D" w:rsidR="00140050" w:rsidRPr="00193BD7" w:rsidRDefault="00EC35AD" w:rsidP="000A3B6D">
            <w:pPr>
              <w:tabs>
                <w:tab w:val="clear" w:pos="284"/>
              </w:tabs>
              <w:autoSpaceDE w:val="0"/>
              <w:autoSpaceDN w:val="0"/>
              <w:adjustRightInd w:val="0"/>
              <w:spacing w:line="240" w:lineRule="auto"/>
              <w:jc w:val="center"/>
              <w:rPr>
                <w:rFonts w:cs="Calibri"/>
                <w:color w:val="auto"/>
                <w:kern w:val="0"/>
                <w:szCs w:val="20"/>
              </w:rPr>
            </w:pPr>
            <w:r>
              <w:rPr>
                <w:color w:val="auto"/>
              </w:rPr>
              <w:t>Killeen City</w:t>
            </w:r>
          </w:p>
        </w:tc>
        <w:tc>
          <w:tcPr>
            <w:tcW w:w="1385" w:type="dxa"/>
            <w:vAlign w:val="top"/>
          </w:tcPr>
          <w:p w14:paraId="5FFE2626" w14:textId="2577184C" w:rsidR="00140050" w:rsidRPr="00193BD7" w:rsidRDefault="00140050" w:rsidP="0083243A">
            <w:pPr>
              <w:tabs>
                <w:tab w:val="clear" w:pos="284"/>
              </w:tabs>
              <w:autoSpaceDE w:val="0"/>
              <w:autoSpaceDN w:val="0"/>
              <w:adjustRightInd w:val="0"/>
              <w:spacing w:line="240" w:lineRule="auto"/>
              <w:jc w:val="center"/>
              <w:rPr>
                <w:rFonts w:cs="Calibri"/>
                <w:color w:val="auto"/>
                <w:kern w:val="0"/>
                <w:szCs w:val="20"/>
              </w:rPr>
            </w:pPr>
            <w:r w:rsidRPr="001A3EAA">
              <w:t>1.</w:t>
            </w:r>
            <w:r w:rsidR="0083243A">
              <w:t>22</w:t>
            </w:r>
          </w:p>
        </w:tc>
      </w:tr>
      <w:tr w:rsidR="00140050" w14:paraId="3ED1516D" w14:textId="77777777" w:rsidTr="00700796">
        <w:trPr>
          <w:cnfStyle w:val="000000100000" w:firstRow="0" w:lastRow="0" w:firstColumn="0" w:lastColumn="0" w:oddVBand="0" w:evenVBand="0" w:oddHBand="1" w:evenHBand="0" w:firstRowFirstColumn="0" w:firstRowLastColumn="0" w:lastRowFirstColumn="0" w:lastRowLastColumn="0"/>
          <w:trHeight w:val="290"/>
          <w:jc w:val="center"/>
        </w:trPr>
        <w:tc>
          <w:tcPr>
            <w:tcW w:w="3134" w:type="dxa"/>
            <w:vAlign w:val="top"/>
          </w:tcPr>
          <w:p w14:paraId="2C0A445A" w14:textId="7A5E9896" w:rsidR="00140050" w:rsidRPr="00193BD7" w:rsidRDefault="00EC35AD" w:rsidP="000A3B6D">
            <w:pPr>
              <w:tabs>
                <w:tab w:val="clear" w:pos="284"/>
              </w:tabs>
              <w:autoSpaceDE w:val="0"/>
              <w:autoSpaceDN w:val="0"/>
              <w:adjustRightInd w:val="0"/>
              <w:spacing w:line="240" w:lineRule="auto"/>
              <w:jc w:val="center"/>
              <w:rPr>
                <w:rFonts w:cs="Calibri"/>
                <w:color w:val="auto"/>
                <w:kern w:val="0"/>
                <w:szCs w:val="20"/>
              </w:rPr>
            </w:pPr>
            <w:r>
              <w:rPr>
                <w:color w:val="auto"/>
              </w:rPr>
              <w:t xml:space="preserve">Fort Hood </w:t>
            </w:r>
          </w:p>
        </w:tc>
        <w:tc>
          <w:tcPr>
            <w:tcW w:w="1385" w:type="dxa"/>
            <w:vAlign w:val="top"/>
          </w:tcPr>
          <w:p w14:paraId="20ECFDCC" w14:textId="7EE64F81" w:rsidR="00140050" w:rsidRPr="00193BD7" w:rsidRDefault="00275D59" w:rsidP="000A3B6D">
            <w:pPr>
              <w:tabs>
                <w:tab w:val="clear" w:pos="284"/>
              </w:tabs>
              <w:autoSpaceDE w:val="0"/>
              <w:autoSpaceDN w:val="0"/>
              <w:adjustRightInd w:val="0"/>
              <w:spacing w:line="240" w:lineRule="auto"/>
              <w:jc w:val="center"/>
              <w:rPr>
                <w:rFonts w:cs="Calibri"/>
                <w:color w:val="auto"/>
                <w:kern w:val="0"/>
                <w:szCs w:val="20"/>
              </w:rPr>
            </w:pPr>
            <w:r>
              <w:t>0.17</w:t>
            </w:r>
          </w:p>
        </w:tc>
      </w:tr>
      <w:tr w:rsidR="00140050" w14:paraId="67E802F7" w14:textId="77777777" w:rsidTr="00700796">
        <w:trPr>
          <w:cnfStyle w:val="000000010000" w:firstRow="0" w:lastRow="0" w:firstColumn="0" w:lastColumn="0" w:oddVBand="0" w:evenVBand="0" w:oddHBand="0" w:evenHBand="1" w:firstRowFirstColumn="0" w:firstRowLastColumn="0" w:lastRowFirstColumn="0" w:lastRowLastColumn="0"/>
          <w:trHeight w:val="290"/>
          <w:jc w:val="center"/>
        </w:trPr>
        <w:tc>
          <w:tcPr>
            <w:tcW w:w="3134" w:type="dxa"/>
            <w:vAlign w:val="top"/>
          </w:tcPr>
          <w:p w14:paraId="7F2DA606" w14:textId="0BAFFEEB" w:rsidR="00140050" w:rsidRPr="00193BD7" w:rsidRDefault="00EC35AD" w:rsidP="000A3B6D">
            <w:pPr>
              <w:tabs>
                <w:tab w:val="clear" w:pos="284"/>
              </w:tabs>
              <w:autoSpaceDE w:val="0"/>
              <w:autoSpaceDN w:val="0"/>
              <w:adjustRightInd w:val="0"/>
              <w:spacing w:line="240" w:lineRule="auto"/>
              <w:jc w:val="center"/>
              <w:rPr>
                <w:rFonts w:cs="Calibri"/>
                <w:color w:val="auto"/>
                <w:kern w:val="0"/>
                <w:szCs w:val="20"/>
              </w:rPr>
            </w:pPr>
            <w:r>
              <w:rPr>
                <w:color w:val="auto"/>
                <w:szCs w:val="20"/>
              </w:rPr>
              <w:t>Evant Town</w:t>
            </w:r>
          </w:p>
        </w:tc>
        <w:tc>
          <w:tcPr>
            <w:tcW w:w="1385" w:type="dxa"/>
            <w:vAlign w:val="top"/>
          </w:tcPr>
          <w:p w14:paraId="154735CF" w14:textId="3A00E091" w:rsidR="00140050" w:rsidRPr="00193BD7" w:rsidRDefault="00F758B8" w:rsidP="000A3B6D">
            <w:pPr>
              <w:tabs>
                <w:tab w:val="clear" w:pos="284"/>
              </w:tabs>
              <w:autoSpaceDE w:val="0"/>
              <w:autoSpaceDN w:val="0"/>
              <w:adjustRightInd w:val="0"/>
              <w:spacing w:line="240" w:lineRule="auto"/>
              <w:jc w:val="center"/>
              <w:rPr>
                <w:rFonts w:cs="Calibri"/>
                <w:color w:val="auto"/>
                <w:kern w:val="0"/>
                <w:szCs w:val="20"/>
              </w:rPr>
            </w:pPr>
            <w:r>
              <w:rPr>
                <w:rFonts w:cs="Calibri"/>
                <w:color w:val="auto"/>
                <w:kern w:val="0"/>
                <w:szCs w:val="20"/>
              </w:rPr>
              <w:t>0.56</w:t>
            </w:r>
          </w:p>
        </w:tc>
      </w:tr>
      <w:tr w:rsidR="00140050" w14:paraId="65C202A2" w14:textId="77777777" w:rsidTr="00700796">
        <w:trPr>
          <w:cnfStyle w:val="000000100000" w:firstRow="0" w:lastRow="0" w:firstColumn="0" w:lastColumn="0" w:oddVBand="0" w:evenVBand="0" w:oddHBand="1" w:evenHBand="0" w:firstRowFirstColumn="0" w:firstRowLastColumn="0" w:lastRowFirstColumn="0" w:lastRowLastColumn="0"/>
          <w:trHeight w:val="290"/>
          <w:jc w:val="center"/>
        </w:trPr>
        <w:tc>
          <w:tcPr>
            <w:tcW w:w="3134" w:type="dxa"/>
            <w:vAlign w:val="top"/>
          </w:tcPr>
          <w:p w14:paraId="43C5158E" w14:textId="3539AFB0" w:rsidR="00140050" w:rsidRPr="00335409" w:rsidRDefault="00EC35AD" w:rsidP="000A3B6D">
            <w:pPr>
              <w:tabs>
                <w:tab w:val="clear" w:pos="284"/>
              </w:tabs>
              <w:autoSpaceDE w:val="0"/>
              <w:autoSpaceDN w:val="0"/>
              <w:adjustRightInd w:val="0"/>
              <w:spacing w:line="240" w:lineRule="auto"/>
              <w:jc w:val="center"/>
              <w:rPr>
                <w:szCs w:val="20"/>
              </w:rPr>
            </w:pPr>
            <w:r>
              <w:rPr>
                <w:color w:val="auto"/>
                <w:szCs w:val="20"/>
              </w:rPr>
              <w:t>Hamilton Municipal Airport</w:t>
            </w:r>
          </w:p>
        </w:tc>
        <w:tc>
          <w:tcPr>
            <w:tcW w:w="1385" w:type="dxa"/>
            <w:vAlign w:val="top"/>
          </w:tcPr>
          <w:p w14:paraId="7AD8AF17" w14:textId="65F81837" w:rsidR="00140050" w:rsidRPr="00335409" w:rsidRDefault="00F758B8" w:rsidP="000A3B6D">
            <w:pPr>
              <w:tabs>
                <w:tab w:val="clear" w:pos="284"/>
              </w:tabs>
              <w:autoSpaceDE w:val="0"/>
              <w:autoSpaceDN w:val="0"/>
              <w:adjustRightInd w:val="0"/>
              <w:spacing w:line="240" w:lineRule="auto"/>
              <w:jc w:val="center"/>
              <w:rPr>
                <w:rFonts w:cs="Calibri"/>
                <w:kern w:val="0"/>
                <w:szCs w:val="20"/>
              </w:rPr>
            </w:pPr>
            <w:r>
              <w:rPr>
                <w:rFonts w:cs="Calibri"/>
                <w:color w:val="auto"/>
                <w:kern w:val="0"/>
                <w:szCs w:val="20"/>
              </w:rPr>
              <w:t>0.31</w:t>
            </w:r>
          </w:p>
        </w:tc>
      </w:tr>
    </w:tbl>
    <w:p w14:paraId="2D39D2C1" w14:textId="77777777" w:rsidR="005A0E97" w:rsidRDefault="005A0E97" w:rsidP="005A0E97">
      <w:pPr>
        <w:pStyle w:val="BodyText"/>
      </w:pPr>
    </w:p>
    <w:p w14:paraId="44ECF07D" w14:textId="77777777" w:rsidR="007774CA" w:rsidRDefault="007774CA" w:rsidP="005A0E97">
      <w:pPr>
        <w:pStyle w:val="BodyText"/>
      </w:pPr>
    </w:p>
    <w:p w14:paraId="50D2C8FF" w14:textId="77777777" w:rsidR="007774CA" w:rsidRDefault="007774CA" w:rsidP="005A0E97">
      <w:pPr>
        <w:pStyle w:val="BodyText"/>
      </w:pPr>
    </w:p>
    <w:p w14:paraId="7FB72764" w14:textId="77777777" w:rsidR="002C66FE" w:rsidRDefault="002C66FE" w:rsidP="002C66FE">
      <w:pPr>
        <w:pStyle w:val="Heading3"/>
      </w:pPr>
      <w:bookmarkStart w:id="71" w:name="_Toc112244133"/>
      <w:r>
        <w:lastRenderedPageBreak/>
        <w:t>Quality Control</w:t>
      </w:r>
      <w:bookmarkEnd w:id="71"/>
    </w:p>
    <w:p w14:paraId="306F1E9E" w14:textId="581CE8EF" w:rsidR="002C66FE" w:rsidRDefault="002C66FE" w:rsidP="002C66FE">
      <w:pPr>
        <w:pStyle w:val="BodyText"/>
      </w:pPr>
      <w:r>
        <w:t>The 2D BLE results were independently assured to meet quality standards of the project. Standard checklists compl</w:t>
      </w:r>
      <w:r w:rsidR="00A15879">
        <w:t>y</w:t>
      </w:r>
      <w:r>
        <w:t xml:space="preserve">ing with FEMA standards were used to review hydrology and hydraulics results, the resulting flood hazard area delineations and CNMS dataset. </w:t>
      </w:r>
      <w:r w:rsidRPr="000B5E8E">
        <w:t>Quality assurance during the data development process includes, but is not lim</w:t>
      </w:r>
      <w:r>
        <w:t xml:space="preserve">ited to the following QC checks: </w:t>
      </w:r>
    </w:p>
    <w:p w14:paraId="31F64D78" w14:textId="1E60BD4D" w:rsidR="002C66FE" w:rsidRDefault="002C66FE" w:rsidP="002C66FE">
      <w:pPr>
        <w:pStyle w:val="BodyText"/>
        <w:numPr>
          <w:ilvl w:val="0"/>
          <w:numId w:val="36"/>
        </w:numPr>
      </w:pPr>
      <w:r>
        <w:t xml:space="preserve">Hydrological QC – included checks for </w:t>
      </w:r>
      <w:r w:rsidR="002D637E">
        <w:t>CN</w:t>
      </w:r>
      <w:r>
        <w:t xml:space="preserve"> calculation, input precipitation, flood events, areal reduction factor and human error.</w:t>
      </w:r>
    </w:p>
    <w:p w14:paraId="5106C5AA" w14:textId="77777777" w:rsidR="002C66FE" w:rsidRDefault="002C66FE" w:rsidP="002C66FE">
      <w:pPr>
        <w:pStyle w:val="BodyText"/>
        <w:numPr>
          <w:ilvl w:val="0"/>
          <w:numId w:val="36"/>
        </w:numPr>
      </w:pPr>
      <w:r>
        <w:t>Hydraulic QC – included checks for RAS geometry, breakline placement, v-notch placement to ensure water conveyance at crossings, refinement regions, roughness coefficients, boundary/initial conditions, timestep and mapping outputs</w:t>
      </w:r>
    </w:p>
    <w:p w14:paraId="0BD9F921" w14:textId="5B39B14E" w:rsidR="002C66FE" w:rsidRDefault="002C66FE" w:rsidP="00900EAE">
      <w:pPr>
        <w:pStyle w:val="BodyText"/>
        <w:numPr>
          <w:ilvl w:val="0"/>
          <w:numId w:val="36"/>
        </w:numPr>
      </w:pPr>
      <w:r>
        <w:t xml:space="preserve">Mapping – </w:t>
      </w:r>
      <w:r w:rsidR="00900EAE">
        <w:t>i</w:t>
      </w:r>
      <w:r w:rsidR="00900EAE" w:rsidRPr="00900EAE">
        <w:t xml:space="preserve">ncluded checks for spot checking flood inundation accuracies based on floodplain mapping criteria described in section </w:t>
      </w:r>
      <w:r w:rsidR="00900EAE">
        <w:fldChar w:fldCharType="begin"/>
      </w:r>
      <w:r w:rsidR="00900EAE">
        <w:instrText xml:space="preserve"> REF _Ref82505774 \r \h </w:instrText>
      </w:r>
      <w:r w:rsidR="00900EAE">
        <w:fldChar w:fldCharType="separate"/>
      </w:r>
      <w:r w:rsidR="007D7CA7">
        <w:t>4.1.2</w:t>
      </w:r>
      <w:r w:rsidR="00900EAE">
        <w:fldChar w:fldCharType="end"/>
      </w:r>
      <w:r w:rsidR="00900EAE" w:rsidRPr="00900EAE">
        <w:t>, ensuring flood extents from higher frequency events did not exceed lower frequency extents due to GIS smoothing algorithms, and topological overlap and cluster tolerance errors were resolved</w:t>
      </w:r>
    </w:p>
    <w:p w14:paraId="44372FD2" w14:textId="5F15DB16" w:rsidR="002C66FE" w:rsidRPr="00102C9D" w:rsidRDefault="002C66FE" w:rsidP="00634F33">
      <w:pPr>
        <w:pStyle w:val="BodyText"/>
        <w:numPr>
          <w:ilvl w:val="0"/>
          <w:numId w:val="36"/>
        </w:numPr>
      </w:pPr>
      <w:r>
        <w:t xml:space="preserve">CNMS - </w:t>
      </w:r>
      <w:r w:rsidR="00634F33" w:rsidRPr="00634F33">
        <w:t xml:space="preserve">Included review of the A1-A5 </w:t>
      </w:r>
      <w:r w:rsidR="00634F33">
        <w:t>a</w:t>
      </w:r>
      <w:r w:rsidR="00634F33" w:rsidRPr="00634F33">
        <w:t xml:space="preserve">nalysis for all effective approximate reaches in the HUC, geometry updates to newly studied reaches added as Zone X, and removal of scoped areas which lie outside of the final BLE footprint.  </w:t>
      </w:r>
    </w:p>
    <w:p w14:paraId="4BA79D91" w14:textId="77777777" w:rsidR="0048315A" w:rsidRDefault="00976A14" w:rsidP="002C66FE">
      <w:pPr>
        <w:pStyle w:val="Heading1"/>
        <w:numPr>
          <w:ilvl w:val="0"/>
          <w:numId w:val="21"/>
        </w:numPr>
      </w:pPr>
      <w:bookmarkStart w:id="72" w:name="_Toc112244134"/>
      <w:r w:rsidRPr="00CA2219">
        <w:t>Results</w:t>
      </w:r>
      <w:bookmarkEnd w:id="72"/>
    </w:p>
    <w:p w14:paraId="6D0435B5" w14:textId="062031B9" w:rsidR="006772F8" w:rsidRPr="006772F8" w:rsidRDefault="00A315D3" w:rsidP="006772F8">
      <w:pPr>
        <w:pStyle w:val="BodyText"/>
      </w:pPr>
      <w:r>
        <w:t xml:space="preserve">The 2D BLE results for the study produced flood hazard area that compared reasonably well </w:t>
      </w:r>
      <w:r w:rsidRPr="00B734C1">
        <w:t>with effective SFHA in most cases, and provide</w:t>
      </w:r>
      <w:r>
        <w:t>s</w:t>
      </w:r>
      <w:r w:rsidRPr="00B734C1">
        <w:t xml:space="preserve"> additional estimated </w:t>
      </w:r>
      <w:r>
        <w:t xml:space="preserve">flood hazard risk area where not previously mapped. </w:t>
      </w:r>
      <w:r w:rsidR="00AF62B2">
        <w:t xml:space="preserve">The HEC-RAS peak (max) results were exported for mapping and the HEC-RAS model was run with a hydrograph output interval of </w:t>
      </w:r>
      <w:r w:rsidR="004F45B1">
        <w:t>1 hour</w:t>
      </w:r>
      <w:r w:rsidR="00AF62B2">
        <w:t xml:space="preserve">, mapping output interval of </w:t>
      </w:r>
      <w:r w:rsidR="004F45B1">
        <w:t>30 minutes</w:t>
      </w:r>
      <w:r w:rsidR="00AF62B2">
        <w:t xml:space="preserve"> and the detailed output interval of 1 hour.</w:t>
      </w:r>
      <w:r>
        <w:t xml:space="preserve">The </w:t>
      </w:r>
      <w:r w:rsidR="004F45B1">
        <w:t>Cowhouse</w:t>
      </w:r>
      <w:r w:rsidR="0023430C">
        <w:t xml:space="preserve"> </w:t>
      </w:r>
      <w:r w:rsidR="005C72F6" w:rsidRPr="005C72F6">
        <w:t>watershed</w:t>
      </w:r>
      <w:r w:rsidR="0023430C">
        <w:t xml:space="preserve"> is</w:t>
      </w:r>
      <w:r>
        <w:t xml:space="preserve"> sufficient to facilitate FEMA regulatory processes while also providing the best available information for planning purposes.</w:t>
      </w:r>
      <w:r w:rsidR="00453C8C">
        <w:t xml:space="preserve"> To further check the models accuracy additional profile lines were added and compared to Base Flood WSE that were available in the Coryell County</w:t>
      </w:r>
      <w:r w:rsidR="00F67493">
        <w:t xml:space="preserve"> Flood Insurance Study</w:t>
      </w:r>
      <w:r w:rsidR="00453C8C">
        <w:t xml:space="preserve"> </w:t>
      </w:r>
      <w:r w:rsidR="00C974D3">
        <w:t>(</w:t>
      </w:r>
      <w:r w:rsidR="00453C8C">
        <w:t>FIS</w:t>
      </w:r>
      <w:r w:rsidR="00C974D3">
        <w:t xml:space="preserve">) </w:t>
      </w:r>
      <w:r w:rsidR="00700796">
        <w:t>dated February 17</w:t>
      </w:r>
      <w:r w:rsidR="00F67493">
        <w:t>, 2010</w:t>
      </w:r>
      <w:r w:rsidR="00F67493">
        <w:rPr>
          <w:rStyle w:val="CommentReference"/>
        </w:rPr>
        <w:t>.</w:t>
      </w:r>
      <w:r w:rsidR="00453C8C">
        <w:t xml:space="preserve"> The comparison is shown below in Table 10</w:t>
      </w:r>
      <w:r w:rsidR="00A67A2F">
        <w:t>.</w:t>
      </w:r>
      <w:r w:rsidR="00453C8C">
        <w:t xml:space="preserve"> </w:t>
      </w:r>
      <w:r>
        <w:t>T</w:t>
      </w:r>
      <w:r w:rsidRPr="00C30B92">
        <w:t xml:space="preserve">he </w:t>
      </w:r>
      <w:r>
        <w:t>2D BLE</w:t>
      </w:r>
      <w:r w:rsidRPr="00C30B92">
        <w:t xml:space="preserve"> results should be verified through community work map meetings</w:t>
      </w:r>
      <w:r>
        <w:t xml:space="preserve"> as part of the regulatory workflow</w:t>
      </w:r>
      <w:r w:rsidRPr="0077449E">
        <w:t>.</w:t>
      </w:r>
      <w:r w:rsidR="002A7ED7">
        <w:t xml:space="preserve"> </w:t>
      </w:r>
    </w:p>
    <w:p w14:paraId="7180083D" w14:textId="45570D67" w:rsidR="0023430C" w:rsidRDefault="0023430C" w:rsidP="0023430C">
      <w:pPr>
        <w:pStyle w:val="Caption"/>
        <w:jc w:val="center"/>
      </w:pPr>
      <w:bookmarkStart w:id="73" w:name="_Toc112244173"/>
      <w:r>
        <w:t xml:space="preserve">Table </w:t>
      </w:r>
      <w:r>
        <w:fldChar w:fldCharType="begin"/>
      </w:r>
      <w:r>
        <w:instrText xml:space="preserve"> SEQ Table \* ARABIC </w:instrText>
      </w:r>
      <w:r>
        <w:fldChar w:fldCharType="separate"/>
      </w:r>
      <w:r w:rsidR="007D7CA7">
        <w:rPr>
          <w:noProof/>
        </w:rPr>
        <w:t>10</w:t>
      </w:r>
      <w:r>
        <w:fldChar w:fldCharType="end"/>
      </w:r>
      <w:r>
        <w:t xml:space="preserve">: Effective and Model </w:t>
      </w:r>
      <w:r w:rsidR="00DB51AA">
        <w:t>Base Flood Elevation(BFE)</w:t>
      </w:r>
      <w:r>
        <w:t xml:space="preserve"> Comparison</w:t>
      </w:r>
      <w:r w:rsidR="00773C8E">
        <w:t xml:space="preserve"> after calibration</w:t>
      </w:r>
      <w:bookmarkEnd w:id="73"/>
    </w:p>
    <w:tbl>
      <w:tblPr>
        <w:tblStyle w:val="FEMATable"/>
        <w:tblW w:w="7498" w:type="dxa"/>
        <w:jc w:val="center"/>
        <w:tblLook w:val="04A0" w:firstRow="1" w:lastRow="0" w:firstColumn="1" w:lastColumn="0" w:noHBand="0" w:noVBand="1"/>
      </w:tblPr>
      <w:tblGrid>
        <w:gridCol w:w="3398"/>
        <w:gridCol w:w="1372"/>
        <w:gridCol w:w="1517"/>
        <w:gridCol w:w="1211"/>
      </w:tblGrid>
      <w:tr w:rsidR="0098775F" w:rsidRPr="0023430C" w14:paraId="15C22F7E" w14:textId="77777777" w:rsidTr="00700796">
        <w:trPr>
          <w:cnfStyle w:val="100000000000" w:firstRow="1" w:lastRow="0" w:firstColumn="0" w:lastColumn="0" w:oddVBand="0" w:evenVBand="0" w:oddHBand="0" w:evenHBand="0" w:firstRowFirstColumn="0" w:firstRowLastColumn="0" w:lastRowFirstColumn="0" w:lastRowLastColumn="0"/>
          <w:trHeight w:hRule="exact" w:val="640"/>
          <w:jc w:val="center"/>
        </w:trPr>
        <w:tc>
          <w:tcPr>
            <w:tcW w:w="3398" w:type="dxa"/>
            <w:tcBorders>
              <w:bottom w:val="single" w:sz="4" w:space="0" w:color="3381BD"/>
            </w:tcBorders>
            <w:shd w:val="clear" w:color="auto" w:fill="00B5E2" w:themeFill="accent1"/>
            <w:vAlign w:val="center"/>
          </w:tcPr>
          <w:p w14:paraId="57C8EF37" w14:textId="77777777" w:rsidR="0098775F" w:rsidRPr="00BC6495" w:rsidRDefault="0098775F" w:rsidP="00974389">
            <w:pPr>
              <w:tabs>
                <w:tab w:val="clear" w:pos="284"/>
              </w:tabs>
              <w:spacing w:after="60" w:line="240" w:lineRule="auto"/>
              <w:rPr>
                <w:rFonts w:eastAsia="Times New Roman" w:cs="Times New Roman"/>
                <w:color w:val="FFFFFF" w:themeColor="background2"/>
                <w:kern w:val="0"/>
                <w:szCs w:val="24"/>
              </w:rPr>
            </w:pPr>
            <w:r w:rsidRPr="00BC6495">
              <w:rPr>
                <w:rFonts w:eastAsia="Times New Roman" w:cs="Times New Roman"/>
                <w:color w:val="FFFFFF" w:themeColor="background2"/>
                <w:kern w:val="0"/>
                <w:szCs w:val="24"/>
              </w:rPr>
              <w:t>Location Description</w:t>
            </w:r>
          </w:p>
        </w:tc>
        <w:tc>
          <w:tcPr>
            <w:tcW w:w="1372" w:type="dxa"/>
            <w:tcBorders>
              <w:bottom w:val="single" w:sz="4" w:space="0" w:color="3381BD"/>
            </w:tcBorders>
            <w:shd w:val="clear" w:color="auto" w:fill="00B5E2" w:themeFill="accent1"/>
            <w:vAlign w:val="center"/>
          </w:tcPr>
          <w:p w14:paraId="528DEFEA" w14:textId="77777777" w:rsidR="0098775F" w:rsidRPr="00BC6495" w:rsidRDefault="0098775F" w:rsidP="00974389">
            <w:pPr>
              <w:tabs>
                <w:tab w:val="clear" w:pos="284"/>
              </w:tabs>
              <w:spacing w:after="60" w:line="240" w:lineRule="auto"/>
              <w:rPr>
                <w:rFonts w:eastAsia="Times New Roman" w:cs="Times New Roman"/>
                <w:color w:val="FFFFFF" w:themeColor="background2"/>
                <w:kern w:val="0"/>
                <w:szCs w:val="24"/>
              </w:rPr>
            </w:pPr>
            <w:r w:rsidRPr="00BC6495">
              <w:rPr>
                <w:rFonts w:eastAsia="Times New Roman" w:cs="Times New Roman"/>
                <w:color w:val="FFFFFF" w:themeColor="background2"/>
                <w:kern w:val="0"/>
                <w:szCs w:val="24"/>
              </w:rPr>
              <w:t>Effective BFE (feet)</w:t>
            </w:r>
          </w:p>
        </w:tc>
        <w:tc>
          <w:tcPr>
            <w:tcW w:w="1517" w:type="dxa"/>
            <w:tcBorders>
              <w:bottom w:val="single" w:sz="4" w:space="0" w:color="3381BD"/>
            </w:tcBorders>
            <w:shd w:val="clear" w:color="auto" w:fill="00B5E2" w:themeFill="accent1"/>
            <w:vAlign w:val="center"/>
          </w:tcPr>
          <w:p w14:paraId="2A39C32B" w14:textId="77777777" w:rsidR="0098775F" w:rsidRPr="00BC6495" w:rsidRDefault="0098775F" w:rsidP="00974389">
            <w:pPr>
              <w:tabs>
                <w:tab w:val="clear" w:pos="284"/>
              </w:tabs>
              <w:spacing w:after="60" w:line="240" w:lineRule="auto"/>
              <w:rPr>
                <w:rFonts w:eastAsia="Times New Roman" w:cs="Times New Roman"/>
                <w:color w:val="FFFFFF" w:themeColor="background2"/>
                <w:kern w:val="0"/>
                <w:szCs w:val="24"/>
              </w:rPr>
            </w:pPr>
            <w:r w:rsidRPr="00BC6495">
              <w:rPr>
                <w:rFonts w:eastAsia="Times New Roman" w:cs="Times New Roman"/>
                <w:color w:val="FFFFFF" w:themeColor="background2"/>
                <w:kern w:val="0"/>
                <w:szCs w:val="24"/>
              </w:rPr>
              <w:t>Model BFE (feet)</w:t>
            </w:r>
          </w:p>
        </w:tc>
        <w:tc>
          <w:tcPr>
            <w:tcW w:w="1211" w:type="dxa"/>
            <w:tcBorders>
              <w:bottom w:val="single" w:sz="4" w:space="0" w:color="3381BD"/>
            </w:tcBorders>
            <w:shd w:val="clear" w:color="auto" w:fill="00B5E2" w:themeFill="accent1"/>
            <w:vAlign w:val="center"/>
          </w:tcPr>
          <w:p w14:paraId="05011653" w14:textId="3056B889" w:rsidR="0098775F" w:rsidRPr="00BC6495" w:rsidRDefault="0098775F" w:rsidP="00974389">
            <w:pPr>
              <w:tabs>
                <w:tab w:val="clear" w:pos="284"/>
              </w:tabs>
              <w:spacing w:after="60" w:line="240" w:lineRule="auto"/>
              <w:rPr>
                <w:rFonts w:eastAsia="Times New Roman" w:cs="Times New Roman"/>
                <w:color w:val="FFFFFF" w:themeColor="background2"/>
                <w:kern w:val="0"/>
                <w:szCs w:val="24"/>
              </w:rPr>
            </w:pPr>
            <w:r w:rsidRPr="00BC6495">
              <w:rPr>
                <w:rFonts w:eastAsia="Times New Roman" w:cs="Times New Roman"/>
                <w:color w:val="FFFFFF" w:themeColor="background2"/>
                <w:kern w:val="0"/>
                <w:szCs w:val="24"/>
              </w:rPr>
              <w:t>Difference (feet)</w:t>
            </w:r>
          </w:p>
        </w:tc>
      </w:tr>
      <w:tr w:rsidR="000B0B23" w:rsidRPr="0023430C" w14:paraId="0DA121E9" w14:textId="77777777" w:rsidTr="00700796">
        <w:trPr>
          <w:cnfStyle w:val="000000100000" w:firstRow="0" w:lastRow="0" w:firstColumn="0" w:lastColumn="0" w:oddVBand="0" w:evenVBand="0" w:oddHBand="1" w:evenHBand="0" w:firstRowFirstColumn="0" w:firstRowLastColumn="0" w:lastRowFirstColumn="0" w:lastRowLastColumn="0"/>
          <w:trHeight w:val="288"/>
          <w:jc w:val="center"/>
        </w:trPr>
        <w:tc>
          <w:tcPr>
            <w:tcW w:w="3398" w:type="dxa"/>
            <w:tcBorders>
              <w:bottom w:val="single" w:sz="4" w:space="0" w:color="3381BD"/>
            </w:tcBorders>
            <w:shd w:val="clear" w:color="auto" w:fill="auto"/>
          </w:tcPr>
          <w:p w14:paraId="2BE43274" w14:textId="16A7C0AD" w:rsidR="000B0B23" w:rsidRDefault="008228BC" w:rsidP="0023430C">
            <w:pPr>
              <w:tabs>
                <w:tab w:val="clear" w:pos="284"/>
              </w:tabs>
              <w:spacing w:before="20" w:after="20" w:line="240" w:lineRule="auto"/>
              <w:rPr>
                <w:rFonts w:ascii="Calibri" w:eastAsia="Times New Roman" w:hAnsi="Calibri" w:cs="Times New Roman"/>
                <w:kern w:val="0"/>
                <w:szCs w:val="24"/>
              </w:rPr>
            </w:pPr>
            <w:r>
              <w:rPr>
                <w:rFonts w:ascii="Calibri" w:eastAsia="Times New Roman" w:hAnsi="Calibri" w:cs="Times New Roman"/>
                <w:kern w:val="0"/>
                <w:szCs w:val="24"/>
              </w:rPr>
              <w:t>House Creek and XS_A</w:t>
            </w:r>
          </w:p>
        </w:tc>
        <w:tc>
          <w:tcPr>
            <w:tcW w:w="1372" w:type="dxa"/>
            <w:tcBorders>
              <w:bottom w:val="single" w:sz="4" w:space="0" w:color="3381BD"/>
            </w:tcBorders>
            <w:shd w:val="clear" w:color="auto" w:fill="auto"/>
            <w:vAlign w:val="center"/>
          </w:tcPr>
          <w:p w14:paraId="6C704E86" w14:textId="1C11E273" w:rsidR="000B0B23" w:rsidRPr="0000189C" w:rsidRDefault="008228BC" w:rsidP="0023430C">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969</w:t>
            </w:r>
          </w:p>
        </w:tc>
        <w:tc>
          <w:tcPr>
            <w:tcW w:w="1517" w:type="dxa"/>
            <w:tcBorders>
              <w:bottom w:val="single" w:sz="4" w:space="0" w:color="3381BD"/>
            </w:tcBorders>
            <w:shd w:val="clear" w:color="auto" w:fill="auto"/>
            <w:vAlign w:val="center"/>
          </w:tcPr>
          <w:p w14:paraId="2B816856" w14:textId="155FECF3" w:rsidR="000B0B23" w:rsidRDefault="008228BC" w:rsidP="0023430C">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966.416</w:t>
            </w:r>
          </w:p>
        </w:tc>
        <w:tc>
          <w:tcPr>
            <w:tcW w:w="1211" w:type="dxa"/>
            <w:tcBorders>
              <w:bottom w:val="single" w:sz="4" w:space="0" w:color="3381BD"/>
            </w:tcBorders>
            <w:shd w:val="clear" w:color="auto" w:fill="auto"/>
            <w:vAlign w:val="center"/>
          </w:tcPr>
          <w:p w14:paraId="1E8C763F" w14:textId="752903C8" w:rsidR="000B0B23" w:rsidRPr="00C55BE5" w:rsidRDefault="008228BC" w:rsidP="00C55BE5">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2.584</w:t>
            </w:r>
          </w:p>
        </w:tc>
      </w:tr>
      <w:tr w:rsidR="0000189C" w:rsidRPr="0023430C" w14:paraId="71E23B01" w14:textId="77777777" w:rsidTr="00700796">
        <w:trPr>
          <w:trHeight w:val="288"/>
          <w:jc w:val="center"/>
        </w:trPr>
        <w:tc>
          <w:tcPr>
            <w:tcW w:w="3398" w:type="dxa"/>
            <w:tcBorders>
              <w:bottom w:val="single" w:sz="4" w:space="0" w:color="3381BD"/>
            </w:tcBorders>
            <w:shd w:val="clear" w:color="auto" w:fill="D9D9D9" w:themeFill="background1" w:themeFillShade="D9"/>
          </w:tcPr>
          <w:p w14:paraId="3DBEFD8B" w14:textId="31EAE9DE" w:rsidR="0000189C" w:rsidRPr="0000189C" w:rsidRDefault="00A67A2F" w:rsidP="00252991">
            <w:pPr>
              <w:tabs>
                <w:tab w:val="clear" w:pos="284"/>
              </w:tabs>
              <w:spacing w:before="20" w:after="20" w:line="240" w:lineRule="auto"/>
              <w:rPr>
                <w:rFonts w:ascii="Calibri" w:eastAsia="Times New Roman" w:hAnsi="Calibri" w:cs="Times New Roman"/>
                <w:kern w:val="0"/>
                <w:szCs w:val="24"/>
              </w:rPr>
            </w:pPr>
            <w:r>
              <w:rPr>
                <w:rFonts w:ascii="Calibri" w:eastAsia="Times New Roman" w:hAnsi="Calibri" w:cs="Times New Roman"/>
                <w:kern w:val="0"/>
                <w:szCs w:val="24"/>
              </w:rPr>
              <w:t>Turkey Run and XS_A</w:t>
            </w:r>
          </w:p>
        </w:tc>
        <w:tc>
          <w:tcPr>
            <w:tcW w:w="1372" w:type="dxa"/>
            <w:tcBorders>
              <w:bottom w:val="single" w:sz="4" w:space="0" w:color="3381BD"/>
            </w:tcBorders>
            <w:shd w:val="clear" w:color="auto" w:fill="D9D9D9" w:themeFill="background1" w:themeFillShade="D9"/>
            <w:vAlign w:val="center"/>
          </w:tcPr>
          <w:p w14:paraId="63119563" w14:textId="1C1AA96A" w:rsidR="0000189C" w:rsidRPr="0000189C" w:rsidRDefault="00A67A2F" w:rsidP="0023430C">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967.1</w:t>
            </w:r>
          </w:p>
        </w:tc>
        <w:tc>
          <w:tcPr>
            <w:tcW w:w="1517" w:type="dxa"/>
            <w:tcBorders>
              <w:bottom w:val="single" w:sz="4" w:space="0" w:color="3381BD"/>
            </w:tcBorders>
            <w:shd w:val="clear" w:color="auto" w:fill="D9D9D9" w:themeFill="background1" w:themeFillShade="D9"/>
            <w:vAlign w:val="center"/>
          </w:tcPr>
          <w:p w14:paraId="349CD347" w14:textId="3A506E57" w:rsidR="0000189C" w:rsidRPr="0000189C" w:rsidRDefault="00A67A2F" w:rsidP="00A67A2F">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964.895</w:t>
            </w:r>
          </w:p>
        </w:tc>
        <w:tc>
          <w:tcPr>
            <w:tcW w:w="1211" w:type="dxa"/>
            <w:tcBorders>
              <w:bottom w:val="single" w:sz="4" w:space="0" w:color="3381BD"/>
            </w:tcBorders>
            <w:shd w:val="clear" w:color="auto" w:fill="D9D9D9" w:themeFill="background1" w:themeFillShade="D9"/>
            <w:vAlign w:val="center"/>
          </w:tcPr>
          <w:p w14:paraId="7F621C3D" w14:textId="050179B5" w:rsidR="00C55BE5" w:rsidRPr="00C55BE5" w:rsidRDefault="00A67A2F" w:rsidP="00A67A2F">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2.205</w:t>
            </w:r>
          </w:p>
        </w:tc>
      </w:tr>
      <w:tr w:rsidR="00AE1FE8" w:rsidRPr="0023430C" w14:paraId="125A6745" w14:textId="77777777" w:rsidTr="00700796">
        <w:trPr>
          <w:cnfStyle w:val="000000100000" w:firstRow="0" w:lastRow="0" w:firstColumn="0" w:lastColumn="0" w:oddVBand="0" w:evenVBand="0" w:oddHBand="1" w:evenHBand="0" w:firstRowFirstColumn="0" w:firstRowLastColumn="0" w:lastRowFirstColumn="0" w:lastRowLastColumn="0"/>
          <w:trHeight w:val="288"/>
          <w:jc w:val="center"/>
        </w:trPr>
        <w:tc>
          <w:tcPr>
            <w:tcW w:w="3398" w:type="dxa"/>
            <w:tcBorders>
              <w:bottom w:val="single" w:sz="4" w:space="0" w:color="3381BD"/>
            </w:tcBorders>
            <w:shd w:val="clear" w:color="auto" w:fill="auto"/>
          </w:tcPr>
          <w:p w14:paraId="0F50CBFD" w14:textId="6A79A8D3" w:rsidR="00AE1FE8" w:rsidRPr="0000189C" w:rsidRDefault="00F4641C" w:rsidP="0023430C">
            <w:pPr>
              <w:tabs>
                <w:tab w:val="clear" w:pos="284"/>
              </w:tabs>
              <w:spacing w:before="20" w:after="20" w:line="240" w:lineRule="auto"/>
              <w:rPr>
                <w:rFonts w:ascii="Calibri" w:eastAsia="Times New Roman" w:hAnsi="Calibri" w:cs="Times New Roman"/>
                <w:kern w:val="0"/>
                <w:szCs w:val="24"/>
              </w:rPr>
            </w:pPr>
            <w:r>
              <w:rPr>
                <w:rFonts w:ascii="Calibri" w:eastAsia="Times New Roman" w:hAnsi="Calibri" w:cs="Times New Roman"/>
                <w:kern w:val="0"/>
                <w:szCs w:val="24"/>
              </w:rPr>
              <w:t>Stream CC1 approxiamtely 2800 ft Upstream of House Creek</w:t>
            </w:r>
            <w:r w:rsidR="00252991">
              <w:rPr>
                <w:rFonts w:ascii="Calibri" w:eastAsia="Times New Roman" w:hAnsi="Calibri" w:cs="Times New Roman"/>
                <w:kern w:val="0"/>
                <w:szCs w:val="24"/>
              </w:rPr>
              <w:t xml:space="preserve"> and XS_B</w:t>
            </w:r>
          </w:p>
        </w:tc>
        <w:tc>
          <w:tcPr>
            <w:tcW w:w="1372" w:type="dxa"/>
            <w:tcBorders>
              <w:bottom w:val="single" w:sz="4" w:space="0" w:color="3381BD"/>
            </w:tcBorders>
            <w:shd w:val="clear" w:color="auto" w:fill="auto"/>
            <w:vAlign w:val="center"/>
          </w:tcPr>
          <w:p w14:paraId="29AE703E" w14:textId="584E8BBB" w:rsidR="00AE1FE8" w:rsidRPr="0000189C" w:rsidRDefault="00252991" w:rsidP="0023430C">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996.9</w:t>
            </w:r>
          </w:p>
        </w:tc>
        <w:tc>
          <w:tcPr>
            <w:tcW w:w="1517" w:type="dxa"/>
            <w:tcBorders>
              <w:bottom w:val="single" w:sz="4" w:space="0" w:color="3381BD"/>
            </w:tcBorders>
            <w:shd w:val="clear" w:color="auto" w:fill="auto"/>
            <w:vAlign w:val="center"/>
          </w:tcPr>
          <w:p w14:paraId="2414D15E" w14:textId="1A33E676" w:rsidR="00AE1FE8" w:rsidRPr="00AE1FE8" w:rsidRDefault="005E71F7" w:rsidP="0023430C">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995.19</w:t>
            </w:r>
          </w:p>
        </w:tc>
        <w:tc>
          <w:tcPr>
            <w:tcW w:w="1211" w:type="dxa"/>
            <w:tcBorders>
              <w:bottom w:val="single" w:sz="4" w:space="0" w:color="3381BD"/>
            </w:tcBorders>
            <w:shd w:val="clear" w:color="auto" w:fill="auto"/>
            <w:vAlign w:val="center"/>
          </w:tcPr>
          <w:p w14:paraId="4DB0CAA1" w14:textId="5853600C" w:rsidR="00AE1FE8" w:rsidRPr="00AE1FE8" w:rsidRDefault="00252991" w:rsidP="0023430C">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1.71</w:t>
            </w:r>
          </w:p>
        </w:tc>
      </w:tr>
    </w:tbl>
    <w:p w14:paraId="0EA826F1" w14:textId="77777777" w:rsidR="00700796" w:rsidRPr="00700796" w:rsidRDefault="00700796" w:rsidP="00700796">
      <w:pPr>
        <w:pStyle w:val="BodyText"/>
      </w:pPr>
    </w:p>
    <w:p w14:paraId="05B44BD2" w14:textId="77777777" w:rsidR="00976A14" w:rsidRDefault="00976A14" w:rsidP="00265A9E">
      <w:pPr>
        <w:pStyle w:val="Heading2"/>
      </w:pPr>
      <w:bookmarkStart w:id="74" w:name="_Ref63069192"/>
      <w:bookmarkStart w:id="75" w:name="_Toc112244135"/>
      <w:r>
        <w:t>Calibration</w:t>
      </w:r>
      <w:bookmarkEnd w:id="74"/>
      <w:bookmarkEnd w:id="75"/>
    </w:p>
    <w:p w14:paraId="4EFAA19B" w14:textId="55FEDE27" w:rsidR="001733FE" w:rsidRPr="001733FE" w:rsidRDefault="0083243A" w:rsidP="001733FE">
      <w:pPr>
        <w:pStyle w:val="BodyText"/>
        <w:rPr>
          <w:rFonts w:cstheme="minorHAnsi"/>
        </w:rPr>
      </w:pPr>
      <w:r>
        <w:rPr>
          <w:rFonts w:cstheme="minorHAnsi"/>
        </w:rPr>
        <w:t xml:space="preserve">One </w:t>
      </w:r>
      <w:r w:rsidR="001733FE" w:rsidRPr="001733FE">
        <w:rPr>
          <w:rFonts w:cstheme="minorHAnsi"/>
        </w:rPr>
        <w:t xml:space="preserve">USGS gage within the model area with more than 10-years of flow record </w:t>
      </w:r>
      <w:r>
        <w:rPr>
          <w:rFonts w:cstheme="minorHAnsi"/>
        </w:rPr>
        <w:t>was</w:t>
      </w:r>
      <w:r w:rsidR="002A7ED7">
        <w:rPr>
          <w:rFonts w:cstheme="minorHAnsi"/>
        </w:rPr>
        <w:t xml:space="preserve"> </w:t>
      </w:r>
      <w:r w:rsidR="001733FE" w:rsidRPr="001733FE">
        <w:rPr>
          <w:rFonts w:cstheme="minorHAnsi"/>
        </w:rPr>
        <w:t>used as the first priority for calibration</w:t>
      </w:r>
      <w:r w:rsidR="002A7ED7">
        <w:rPr>
          <w:rFonts w:cstheme="minorHAnsi"/>
        </w:rPr>
        <w:t xml:space="preserve"> o</w:t>
      </w:r>
      <w:r w:rsidR="001733FE" w:rsidRPr="001733FE">
        <w:rPr>
          <w:rFonts w:cstheme="minorHAnsi"/>
        </w:rPr>
        <w:t>f the 1</w:t>
      </w:r>
      <w:r w:rsidR="005C72F6">
        <w:rPr>
          <w:rFonts w:cstheme="minorHAnsi"/>
        </w:rPr>
        <w:t>-percent</w:t>
      </w:r>
      <w:r w:rsidR="001733FE" w:rsidRPr="001733FE">
        <w:rPr>
          <w:rFonts w:cstheme="minorHAnsi"/>
        </w:rPr>
        <w:t xml:space="preserve"> annual chance event. Discharges at gages were compared to discharge in the 2D model at the exact same location</w:t>
      </w:r>
      <w:r w:rsidR="001733FE" w:rsidRPr="009B7FC2">
        <w:rPr>
          <w:rFonts w:cstheme="minorHAnsi"/>
        </w:rPr>
        <w:t xml:space="preserve">. </w:t>
      </w:r>
      <w:r>
        <w:rPr>
          <w:rFonts w:cstheme="minorHAnsi"/>
        </w:rPr>
        <w:t xml:space="preserve">Using the </w:t>
      </w:r>
      <w:r w:rsidR="001733FE" w:rsidRPr="009B7FC2">
        <w:rPr>
          <w:rFonts w:cstheme="minorHAnsi"/>
        </w:rPr>
        <w:t xml:space="preserve">published rating curve, </w:t>
      </w:r>
      <w:r w:rsidR="00545F63">
        <w:rPr>
          <w:rFonts w:cstheme="minorHAnsi"/>
        </w:rPr>
        <w:t>WSE</w:t>
      </w:r>
      <w:r w:rsidR="002B575D">
        <w:rPr>
          <w:rFonts w:cstheme="minorHAnsi"/>
        </w:rPr>
        <w:t>s</w:t>
      </w:r>
      <w:r w:rsidR="001733FE" w:rsidRPr="009B7FC2">
        <w:rPr>
          <w:rFonts w:cstheme="minorHAnsi"/>
        </w:rPr>
        <w:t xml:space="preserve"> from the model was compared to the calculated 1</w:t>
      </w:r>
      <w:r w:rsidR="005C72F6">
        <w:rPr>
          <w:rFonts w:cstheme="minorHAnsi"/>
        </w:rPr>
        <w:t>-percent</w:t>
      </w:r>
      <w:r w:rsidR="001733FE" w:rsidRPr="009B7FC2">
        <w:rPr>
          <w:rFonts w:cstheme="minorHAnsi"/>
        </w:rPr>
        <w:t xml:space="preserve"> </w:t>
      </w:r>
      <w:r w:rsidR="00545F63">
        <w:rPr>
          <w:rFonts w:cstheme="minorHAnsi"/>
        </w:rPr>
        <w:t>WSE</w:t>
      </w:r>
      <w:r w:rsidR="001733FE" w:rsidRPr="009B7FC2">
        <w:rPr>
          <w:rFonts w:cstheme="minorHAnsi"/>
        </w:rPr>
        <w:t xml:space="preserve"> from the gage analysis.</w:t>
      </w:r>
      <w:r w:rsidR="001733FE" w:rsidRPr="001733FE">
        <w:rPr>
          <w:rFonts w:cstheme="minorHAnsi"/>
        </w:rPr>
        <w:t xml:space="preserve"> </w:t>
      </w:r>
    </w:p>
    <w:p w14:paraId="229DABA8" w14:textId="643E65EF" w:rsidR="001733FE" w:rsidRDefault="001733FE" w:rsidP="001733FE">
      <w:pPr>
        <w:pStyle w:val="BodyText"/>
        <w:rPr>
          <w:rFonts w:cstheme="minorHAnsi"/>
        </w:rPr>
      </w:pPr>
      <w:r w:rsidRPr="001733FE">
        <w:rPr>
          <w:rFonts w:cstheme="minorHAnsi"/>
        </w:rPr>
        <w:t xml:space="preserve">Effective data was the second priority for calibration. Modeled flows were compared to flows from the summary of discharges </w:t>
      </w:r>
      <w:r w:rsidRPr="0030158D">
        <w:rPr>
          <w:rFonts w:cstheme="minorHAnsi"/>
        </w:rPr>
        <w:t xml:space="preserve">tables from the </w:t>
      </w:r>
      <w:r w:rsidR="005E71F7">
        <w:rPr>
          <w:rFonts w:cstheme="minorHAnsi"/>
        </w:rPr>
        <w:t>Coryell</w:t>
      </w:r>
      <w:r w:rsidRPr="0030158D">
        <w:rPr>
          <w:rFonts w:cstheme="minorHAnsi"/>
        </w:rPr>
        <w:t xml:space="preserve"> County </w:t>
      </w:r>
      <w:r w:rsidR="00545F63">
        <w:rPr>
          <w:rFonts w:cstheme="minorHAnsi"/>
        </w:rPr>
        <w:t>FIS</w:t>
      </w:r>
      <w:r w:rsidR="00033871" w:rsidRPr="0030158D">
        <w:rPr>
          <w:rFonts w:cstheme="minorHAnsi"/>
        </w:rPr>
        <w:t xml:space="preserve"> (</w:t>
      </w:r>
      <w:r w:rsidR="00545F63">
        <w:rPr>
          <w:rFonts w:cstheme="minorHAnsi"/>
        </w:rPr>
        <w:t>e</w:t>
      </w:r>
      <w:r w:rsidR="00033871" w:rsidRPr="0030158D">
        <w:rPr>
          <w:rFonts w:cstheme="minorHAnsi"/>
        </w:rPr>
        <w:t>ffective</w:t>
      </w:r>
      <w:r w:rsidR="00545F63">
        <w:rPr>
          <w:rFonts w:cstheme="minorHAnsi"/>
        </w:rPr>
        <w:t xml:space="preserve"> date</w:t>
      </w:r>
      <w:r w:rsidR="00033871" w:rsidRPr="0030158D">
        <w:rPr>
          <w:rFonts w:cstheme="minorHAnsi"/>
        </w:rPr>
        <w:t xml:space="preserve"> </w:t>
      </w:r>
      <w:r w:rsidR="005E71F7">
        <w:rPr>
          <w:rFonts w:cstheme="minorHAnsi"/>
        </w:rPr>
        <w:t>February 2010</w:t>
      </w:r>
      <w:r w:rsidR="00033871" w:rsidRPr="0030158D">
        <w:rPr>
          <w:rFonts w:cstheme="minorHAnsi"/>
        </w:rPr>
        <w:t>)</w:t>
      </w:r>
      <w:r w:rsidRPr="0030158D">
        <w:rPr>
          <w:rFonts w:cstheme="minorHAnsi"/>
        </w:rPr>
        <w:t>.</w:t>
      </w:r>
      <w:r w:rsidRPr="001733FE">
        <w:rPr>
          <w:rFonts w:cstheme="minorHAnsi"/>
        </w:rPr>
        <w:t xml:space="preserve"> Known water surface elevations were used for validation, not calibration. Upper and lower limits for the effective flows  were calculated by hand and were not taken from the FIS </w:t>
      </w:r>
      <w:r w:rsidR="002A7ED7">
        <w:rPr>
          <w:rFonts w:cstheme="minorHAnsi"/>
        </w:rPr>
        <w:t>report. They were calculated</w:t>
      </w:r>
      <w:r w:rsidRPr="001733FE">
        <w:rPr>
          <w:rFonts w:cstheme="minorHAnsi"/>
        </w:rPr>
        <w:t xml:space="preserve"> by:  </w:t>
      </w:r>
    </w:p>
    <w:p w14:paraId="2E6106EC" w14:textId="77777777" w:rsidR="00F5455A" w:rsidRPr="005A0E97" w:rsidRDefault="00F5455A" w:rsidP="00F5455A">
      <w:pPr>
        <w:pStyle w:val="BodyText"/>
        <w:jc w:val="center"/>
        <w:rPr>
          <w:rFonts w:cstheme="minorHAnsi"/>
        </w:rPr>
      </w:pPr>
      <w:r w:rsidRPr="005A0E97">
        <w:rPr>
          <w:rFonts w:cstheme="minorHAnsi"/>
        </w:rPr>
        <w:lastRenderedPageBreak/>
        <w:t>Upper Limit= 0.501 * 1%Q</w:t>
      </w:r>
    </w:p>
    <w:p w14:paraId="5B534B1F" w14:textId="77777777" w:rsidR="00300663" w:rsidRPr="005A0E97" w:rsidRDefault="00F5455A" w:rsidP="00F5455A">
      <w:pPr>
        <w:pStyle w:val="BodyText"/>
        <w:jc w:val="center"/>
        <w:rPr>
          <w:rFonts w:cstheme="minorHAnsi"/>
        </w:rPr>
      </w:pPr>
      <w:r w:rsidRPr="005A0E97">
        <w:rPr>
          <w:rFonts w:cstheme="minorHAnsi"/>
        </w:rPr>
        <w:t>Lower Limit=1.995 * 1%Q</w:t>
      </w:r>
    </w:p>
    <w:p w14:paraId="69C6D00F" w14:textId="0E7D549E" w:rsidR="009B7FC2" w:rsidRDefault="00545F63" w:rsidP="001B0325">
      <w:pPr>
        <w:pStyle w:val="BodyText"/>
      </w:pPr>
      <w:r>
        <w:t>Apart from the single</w:t>
      </w:r>
      <w:r w:rsidR="001733FE" w:rsidRPr="009B7FC2">
        <w:t xml:space="preserve"> USGS gage that fall</w:t>
      </w:r>
      <w:r w:rsidR="005E71F7">
        <w:t>s</w:t>
      </w:r>
      <w:r w:rsidR="001733FE" w:rsidRPr="009B7FC2">
        <w:t xml:space="preserve"> within the boundary of </w:t>
      </w:r>
      <w:r w:rsidR="005E71F7">
        <w:t>Cowhouse</w:t>
      </w:r>
      <w:r w:rsidR="001733FE" w:rsidRPr="009B7FC2">
        <w:t xml:space="preserve"> watershed</w:t>
      </w:r>
      <w:r>
        <w:t>, a</w:t>
      </w:r>
      <w:r w:rsidR="001733FE" w:rsidRPr="009B7FC2">
        <w:t>dditional effective data was used for secondary cali</w:t>
      </w:r>
      <w:r>
        <w:t>bration</w:t>
      </w:r>
      <w:r w:rsidR="001733FE" w:rsidRPr="009B7FC2">
        <w:t>.</w:t>
      </w:r>
      <w:r w:rsidR="005E71F7">
        <w:t xml:space="preserve"> No</w:t>
      </w:r>
      <w:r w:rsidR="001733FE" w:rsidRPr="009B7FC2">
        <w:t xml:space="preserve"> </w:t>
      </w:r>
      <w:r w:rsidR="001B0325" w:rsidRPr="009B7FC2">
        <w:t xml:space="preserve">Adjustments to hydraulic features within the model were </w:t>
      </w:r>
      <w:r w:rsidR="005E71F7">
        <w:t>needed to mak</w:t>
      </w:r>
      <w:r w:rsidR="001B0325" w:rsidRPr="009B7FC2">
        <w:t>e the flows in the model matc</w:t>
      </w:r>
      <w:r w:rsidR="005E71F7">
        <w:t>h</w:t>
      </w:r>
      <w:r w:rsidR="001B0325" w:rsidRPr="009B7FC2">
        <w:t xml:space="preserve"> closely with the peak flows determined from gage and effective data. No adjustments were needed for the </w:t>
      </w:r>
      <w:r w:rsidR="002D637E">
        <w:t>CN</w:t>
      </w:r>
      <w:r w:rsidR="00B34476">
        <w:t xml:space="preserve"> or the n-values</w:t>
      </w:r>
      <w:r w:rsidR="001B0325" w:rsidRPr="009B7FC2">
        <w:t xml:space="preserve">. Final results following model calibration at the calibration locations </w:t>
      </w:r>
      <w:r w:rsidR="002A7ED7">
        <w:t>are</w:t>
      </w:r>
      <w:r w:rsidR="001B0325" w:rsidRPr="009B7FC2">
        <w:t xml:space="preserve"> presented in </w:t>
      </w:r>
      <w:r w:rsidR="001B0325" w:rsidRPr="009B7FC2">
        <w:fldChar w:fldCharType="begin"/>
      </w:r>
      <w:r w:rsidR="001B0325" w:rsidRPr="009B7FC2">
        <w:instrText xml:space="preserve"> REF _Ref82531454 \h  \* MERGEFORMAT </w:instrText>
      </w:r>
      <w:r w:rsidR="001B0325" w:rsidRPr="009B7FC2">
        <w:fldChar w:fldCharType="separate"/>
      </w:r>
      <w:r w:rsidR="007D7CA7">
        <w:t>Table 11</w:t>
      </w:r>
      <w:r w:rsidR="001B0325" w:rsidRPr="009B7FC2">
        <w:fldChar w:fldCharType="end"/>
      </w:r>
      <w:r w:rsidR="00857E4E" w:rsidRPr="009B7FC2">
        <w:t>.</w:t>
      </w:r>
      <w:r w:rsidR="002A7ED7">
        <w:t xml:space="preserve"> Model</w:t>
      </w:r>
      <w:r w:rsidR="009B7FC2">
        <w:t xml:space="preserve"> </w:t>
      </w:r>
      <w:r w:rsidR="00FC4FFE">
        <w:t>flows</w:t>
      </w:r>
      <w:r w:rsidR="009B7FC2">
        <w:t xml:space="preserve"> were accepted</w:t>
      </w:r>
      <w:r w:rsidR="002A7ED7">
        <w:t>,</w:t>
      </w:r>
      <w:r w:rsidR="009B7FC2">
        <w:t xml:space="preserve"> although </w:t>
      </w:r>
      <w:r w:rsidR="001523E6">
        <w:t>the referenced</w:t>
      </w:r>
      <w:r w:rsidR="00FC4FFE">
        <w:t xml:space="preserve"> location</w:t>
      </w:r>
      <w:r w:rsidR="001523E6">
        <w:t xml:space="preserve"> at </w:t>
      </w:r>
      <w:r w:rsidR="00C974D3">
        <w:t>“</w:t>
      </w:r>
      <w:r w:rsidR="001523E6">
        <w:t>Stream CC1</w:t>
      </w:r>
      <w:r w:rsidR="00C974D3">
        <w:t>”</w:t>
      </w:r>
      <w:r w:rsidR="00FC4FFE">
        <w:t xml:space="preserve"> is</w:t>
      </w:r>
      <w:r w:rsidR="009B7FC2">
        <w:t xml:space="preserve"> slightly </w:t>
      </w:r>
      <w:r w:rsidR="000B0B23">
        <w:t>lower</w:t>
      </w:r>
      <w:r w:rsidR="009B7FC2">
        <w:t xml:space="preserve"> than the specified range.</w:t>
      </w:r>
      <w:r w:rsidR="002A7ED7">
        <w:t xml:space="preserve"> </w:t>
      </w:r>
      <w:r w:rsidR="007E1F1A">
        <w:t>This lower flow at the Stream CC1-Coryell County FIS comparison point was accepted, in this instance, primarily due to the calibration/validation approach used for this BLE study, and putting a greater priority on validation against the flows at gage 08101000; with additional calibration adjustments to attempt to increase flows at Stream CC1 potentially increasing flow at the gage comparison location beyond its upper limit.</w:t>
      </w:r>
      <w:r w:rsidR="009B7FC2">
        <w:t xml:space="preserve"> </w:t>
      </w:r>
    </w:p>
    <w:p w14:paraId="561777E5" w14:textId="1F396A05" w:rsidR="00A315D3" w:rsidRDefault="00A315D3" w:rsidP="007C3827">
      <w:pPr>
        <w:pStyle w:val="Caption"/>
        <w:jc w:val="center"/>
      </w:pPr>
      <w:bookmarkStart w:id="76" w:name="_Ref61266074"/>
      <w:bookmarkStart w:id="77" w:name="_Ref82531454"/>
      <w:bookmarkStart w:id="78" w:name="_Toc112244174"/>
      <w:r>
        <w:t xml:space="preserve">Table </w:t>
      </w:r>
      <w:r w:rsidR="0047146E">
        <w:fldChar w:fldCharType="begin"/>
      </w:r>
      <w:r w:rsidR="0047146E">
        <w:instrText xml:space="preserve"> SEQ Table \* ARABIC </w:instrText>
      </w:r>
      <w:r w:rsidR="0047146E">
        <w:fldChar w:fldCharType="separate"/>
      </w:r>
      <w:r w:rsidR="007D7CA7">
        <w:rPr>
          <w:noProof/>
        </w:rPr>
        <w:t>11</w:t>
      </w:r>
      <w:r w:rsidR="0047146E">
        <w:fldChar w:fldCharType="end"/>
      </w:r>
      <w:bookmarkEnd w:id="76"/>
      <w:bookmarkEnd w:id="77"/>
      <w:r>
        <w:t>: Calibration Results</w:t>
      </w:r>
      <w:bookmarkEnd w:id="78"/>
    </w:p>
    <w:tbl>
      <w:tblPr>
        <w:tblStyle w:val="CompassTable"/>
        <w:tblW w:w="0" w:type="auto"/>
        <w:jc w:val="center"/>
        <w:tblLayout w:type="fixed"/>
        <w:tblLook w:val="04A0" w:firstRow="1" w:lastRow="0" w:firstColumn="1" w:lastColumn="0" w:noHBand="0" w:noVBand="1"/>
      </w:tblPr>
      <w:tblGrid>
        <w:gridCol w:w="1500"/>
        <w:gridCol w:w="1551"/>
        <w:gridCol w:w="1440"/>
        <w:gridCol w:w="1350"/>
        <w:gridCol w:w="1080"/>
        <w:gridCol w:w="1170"/>
        <w:gridCol w:w="1251"/>
      </w:tblGrid>
      <w:tr w:rsidR="00870C34" w:rsidRPr="00A315D3" w14:paraId="1EA241A3" w14:textId="77777777" w:rsidTr="0022732E">
        <w:trPr>
          <w:cnfStyle w:val="100000000000" w:firstRow="1" w:lastRow="0" w:firstColumn="0" w:lastColumn="0" w:oddVBand="0" w:evenVBand="0" w:oddHBand="0" w:evenHBand="0" w:firstRowFirstColumn="0" w:firstRowLastColumn="0" w:lastRowFirstColumn="0" w:lastRowLastColumn="0"/>
          <w:trHeight w:val="244"/>
          <w:jc w:val="center"/>
        </w:trPr>
        <w:tc>
          <w:tcPr>
            <w:tcW w:w="1500" w:type="dxa"/>
            <w:vMerge w:val="restart"/>
            <w:shd w:val="clear" w:color="auto" w:fill="00B5E2" w:themeFill="accent1"/>
            <w:hideMark/>
          </w:tcPr>
          <w:p w14:paraId="5D5F6774" w14:textId="77777777" w:rsidR="00870C34" w:rsidRPr="00BC6495" w:rsidRDefault="00870C34" w:rsidP="001E44B6">
            <w:pPr>
              <w:tabs>
                <w:tab w:val="clear" w:pos="284"/>
              </w:tabs>
              <w:spacing w:line="240" w:lineRule="auto"/>
              <w:jc w:val="center"/>
              <w:rPr>
                <w:rFonts w:eastAsia="Times New Roman" w:cs="Times New Roman"/>
                <w:kern w:val="0"/>
                <w:sz w:val="20"/>
                <w:szCs w:val="20"/>
              </w:rPr>
            </w:pPr>
            <w:r w:rsidRPr="00BC6495">
              <w:rPr>
                <w:rFonts w:eastAsia="Times New Roman" w:cs="Times New Roman"/>
                <w:kern w:val="0"/>
                <w:sz w:val="20"/>
                <w:szCs w:val="20"/>
              </w:rPr>
              <w:t>Calibration Location</w:t>
            </w:r>
          </w:p>
        </w:tc>
        <w:tc>
          <w:tcPr>
            <w:tcW w:w="1551" w:type="dxa"/>
            <w:vMerge w:val="restart"/>
            <w:shd w:val="clear" w:color="auto" w:fill="00B5E2" w:themeFill="accent1"/>
            <w:hideMark/>
          </w:tcPr>
          <w:p w14:paraId="3010B01F" w14:textId="77777777" w:rsidR="00870C34" w:rsidRPr="00BC6495" w:rsidRDefault="00870C34" w:rsidP="001E44B6">
            <w:pPr>
              <w:tabs>
                <w:tab w:val="clear" w:pos="284"/>
              </w:tabs>
              <w:spacing w:line="240" w:lineRule="auto"/>
              <w:jc w:val="center"/>
              <w:rPr>
                <w:rFonts w:eastAsia="Times New Roman" w:cs="Times New Roman"/>
                <w:kern w:val="0"/>
                <w:sz w:val="20"/>
                <w:szCs w:val="20"/>
              </w:rPr>
            </w:pPr>
            <w:r w:rsidRPr="00BC6495">
              <w:rPr>
                <w:rFonts w:eastAsia="Times New Roman" w:cs="Times New Roman"/>
                <w:kern w:val="0"/>
                <w:sz w:val="20"/>
                <w:szCs w:val="20"/>
              </w:rPr>
              <w:t>Source</w:t>
            </w:r>
          </w:p>
        </w:tc>
        <w:tc>
          <w:tcPr>
            <w:tcW w:w="1440" w:type="dxa"/>
            <w:vMerge w:val="restart"/>
            <w:shd w:val="clear" w:color="auto" w:fill="00B5E2" w:themeFill="accent1"/>
          </w:tcPr>
          <w:p w14:paraId="0B416D15" w14:textId="77777777" w:rsidR="00870C34" w:rsidRPr="00BC6495" w:rsidRDefault="00870C34" w:rsidP="001E44B6">
            <w:pPr>
              <w:spacing w:line="240" w:lineRule="auto"/>
              <w:jc w:val="center"/>
              <w:rPr>
                <w:rFonts w:eastAsia="Times New Roman" w:cs="Times New Roman"/>
                <w:kern w:val="0"/>
                <w:sz w:val="20"/>
                <w:szCs w:val="20"/>
              </w:rPr>
            </w:pPr>
            <w:r w:rsidRPr="00BC6495">
              <w:rPr>
                <w:rFonts w:eastAsia="Times New Roman" w:cs="Times New Roman"/>
                <w:kern w:val="0"/>
                <w:szCs w:val="20"/>
              </w:rPr>
              <w:t>Method Used in Original Study</w:t>
            </w:r>
          </w:p>
        </w:tc>
        <w:tc>
          <w:tcPr>
            <w:tcW w:w="3600" w:type="dxa"/>
            <w:gridSpan w:val="3"/>
            <w:shd w:val="clear" w:color="auto" w:fill="00B5E2" w:themeFill="accent1"/>
          </w:tcPr>
          <w:p w14:paraId="68026D9B" w14:textId="77777777" w:rsidR="00870C34" w:rsidRPr="00BC6495" w:rsidRDefault="00870C34" w:rsidP="001E44B6">
            <w:pPr>
              <w:spacing w:line="240" w:lineRule="auto"/>
              <w:jc w:val="center"/>
              <w:rPr>
                <w:rFonts w:eastAsia="Times New Roman" w:cs="Times New Roman"/>
                <w:kern w:val="0"/>
                <w:szCs w:val="20"/>
              </w:rPr>
            </w:pPr>
            <w:r w:rsidRPr="00BC6495">
              <w:rPr>
                <w:rFonts w:eastAsia="Times New Roman" w:cs="Times New Roman"/>
                <w:kern w:val="0"/>
                <w:szCs w:val="20"/>
              </w:rPr>
              <w:t>Reference</w:t>
            </w:r>
          </w:p>
        </w:tc>
        <w:tc>
          <w:tcPr>
            <w:tcW w:w="1251" w:type="dxa"/>
            <w:vMerge w:val="restart"/>
            <w:shd w:val="clear" w:color="auto" w:fill="00B5E2" w:themeFill="accent1"/>
          </w:tcPr>
          <w:p w14:paraId="4033CF3E" w14:textId="077FED48" w:rsidR="00870C34" w:rsidRPr="00BC6495" w:rsidRDefault="000B0B23" w:rsidP="00545F63">
            <w:pPr>
              <w:spacing w:line="240" w:lineRule="auto"/>
              <w:jc w:val="center"/>
              <w:rPr>
                <w:rFonts w:eastAsia="Times New Roman" w:cs="Times New Roman"/>
                <w:kern w:val="0"/>
                <w:szCs w:val="20"/>
              </w:rPr>
            </w:pPr>
            <w:r>
              <w:rPr>
                <w:rFonts w:eastAsia="Times New Roman" w:cs="Times New Roman"/>
                <w:kern w:val="0"/>
                <w:szCs w:val="20"/>
              </w:rPr>
              <w:t xml:space="preserve">HEC-RAS </w:t>
            </w:r>
            <w:r w:rsidR="00545F63">
              <w:rPr>
                <w:rFonts w:eastAsia="Times New Roman" w:cs="Times New Roman"/>
                <w:kern w:val="0"/>
                <w:szCs w:val="20"/>
              </w:rPr>
              <w:t>6.1 (</w:t>
            </w:r>
            <w:r w:rsidR="00870C34" w:rsidRPr="00BC6495">
              <w:rPr>
                <w:rFonts w:eastAsia="Times New Roman" w:cs="Times New Roman"/>
                <w:kern w:val="0"/>
                <w:szCs w:val="20"/>
              </w:rPr>
              <w:t>2D)</w:t>
            </w:r>
            <w:r w:rsidR="00877344">
              <w:rPr>
                <w:rFonts w:eastAsia="Times New Roman" w:cs="Times New Roman"/>
                <w:kern w:val="0"/>
                <w:szCs w:val="20"/>
              </w:rPr>
              <w:br/>
              <w:t>(cfs)</w:t>
            </w:r>
          </w:p>
        </w:tc>
      </w:tr>
      <w:tr w:rsidR="00870C34" w:rsidRPr="00A315D3" w14:paraId="34F5BC6A" w14:textId="77777777" w:rsidTr="0022732E">
        <w:trPr>
          <w:cnfStyle w:val="000000100000" w:firstRow="0" w:lastRow="0" w:firstColumn="0" w:lastColumn="0" w:oddVBand="0" w:evenVBand="0" w:oddHBand="1" w:evenHBand="0" w:firstRowFirstColumn="0" w:firstRowLastColumn="0" w:lastRowFirstColumn="0" w:lastRowLastColumn="0"/>
          <w:trHeight w:val="826"/>
          <w:jc w:val="center"/>
        </w:trPr>
        <w:tc>
          <w:tcPr>
            <w:tcW w:w="1500" w:type="dxa"/>
            <w:vMerge/>
            <w:shd w:val="clear" w:color="auto" w:fill="00B5E2" w:themeFill="accent1"/>
            <w:hideMark/>
          </w:tcPr>
          <w:p w14:paraId="51BCC1F6" w14:textId="77777777" w:rsidR="00870C34" w:rsidRPr="00A315D3" w:rsidRDefault="00870C34" w:rsidP="001E44B6">
            <w:pPr>
              <w:tabs>
                <w:tab w:val="clear" w:pos="284"/>
              </w:tabs>
              <w:spacing w:line="240" w:lineRule="auto"/>
              <w:jc w:val="center"/>
              <w:rPr>
                <w:rFonts w:eastAsia="Times New Roman" w:cs="Times New Roman"/>
                <w:b/>
                <w:bCs/>
                <w:color w:val="FFFFFF"/>
                <w:kern w:val="0"/>
                <w:szCs w:val="20"/>
              </w:rPr>
            </w:pPr>
          </w:p>
        </w:tc>
        <w:tc>
          <w:tcPr>
            <w:tcW w:w="1551" w:type="dxa"/>
            <w:vMerge/>
            <w:shd w:val="clear" w:color="auto" w:fill="00B5E2" w:themeFill="accent1"/>
            <w:hideMark/>
          </w:tcPr>
          <w:p w14:paraId="5169D99A" w14:textId="77777777" w:rsidR="00870C34" w:rsidRPr="00A315D3" w:rsidRDefault="00870C34" w:rsidP="001E44B6">
            <w:pPr>
              <w:tabs>
                <w:tab w:val="clear" w:pos="284"/>
              </w:tabs>
              <w:spacing w:line="240" w:lineRule="auto"/>
              <w:jc w:val="center"/>
              <w:rPr>
                <w:rFonts w:eastAsia="Times New Roman" w:cs="Times New Roman"/>
                <w:b/>
                <w:bCs/>
                <w:color w:val="FFFFFF"/>
                <w:kern w:val="0"/>
                <w:szCs w:val="20"/>
              </w:rPr>
            </w:pPr>
          </w:p>
        </w:tc>
        <w:tc>
          <w:tcPr>
            <w:tcW w:w="1440" w:type="dxa"/>
            <w:vMerge/>
            <w:shd w:val="clear" w:color="auto" w:fill="00B5E2" w:themeFill="accent1"/>
          </w:tcPr>
          <w:p w14:paraId="64CDBD9D" w14:textId="77777777" w:rsidR="00870C34" w:rsidRPr="00A315D3" w:rsidRDefault="00870C34" w:rsidP="001E44B6">
            <w:pPr>
              <w:tabs>
                <w:tab w:val="clear" w:pos="284"/>
              </w:tabs>
              <w:spacing w:line="240" w:lineRule="auto"/>
              <w:jc w:val="center"/>
              <w:rPr>
                <w:rFonts w:eastAsia="Times New Roman" w:cs="Times New Roman"/>
                <w:b/>
                <w:bCs/>
                <w:color w:val="FFFFFF"/>
                <w:kern w:val="0"/>
                <w:szCs w:val="20"/>
              </w:rPr>
            </w:pPr>
          </w:p>
        </w:tc>
        <w:tc>
          <w:tcPr>
            <w:tcW w:w="1350" w:type="dxa"/>
            <w:shd w:val="clear" w:color="auto" w:fill="00B5E2" w:themeFill="accent1"/>
          </w:tcPr>
          <w:p w14:paraId="43F0139D" w14:textId="13DB6DC7" w:rsidR="00870C34" w:rsidRPr="00BC6495" w:rsidRDefault="00870C34" w:rsidP="001E44B6">
            <w:pPr>
              <w:tabs>
                <w:tab w:val="clear" w:pos="284"/>
              </w:tabs>
              <w:spacing w:line="240" w:lineRule="auto"/>
              <w:jc w:val="center"/>
              <w:rPr>
                <w:rFonts w:eastAsia="Times New Roman" w:cs="Times New Roman"/>
                <w:b/>
                <w:bCs/>
                <w:color w:val="FFFFFF"/>
                <w:kern w:val="0"/>
                <w:szCs w:val="20"/>
              </w:rPr>
            </w:pPr>
            <w:r w:rsidRPr="00BC6495">
              <w:rPr>
                <w:rFonts w:eastAsia="Times New Roman" w:cs="Times New Roman"/>
                <w:b/>
                <w:bCs/>
                <w:color w:val="FFFFFF"/>
                <w:kern w:val="0"/>
                <w:szCs w:val="20"/>
              </w:rPr>
              <w:t>Lower Limit</w:t>
            </w:r>
            <w:r w:rsidR="00877344">
              <w:rPr>
                <w:rFonts w:eastAsia="Times New Roman" w:cs="Times New Roman"/>
                <w:b/>
                <w:bCs/>
                <w:color w:val="FFFFFF"/>
                <w:kern w:val="0"/>
                <w:szCs w:val="20"/>
              </w:rPr>
              <w:t xml:space="preserve"> (cfs)</w:t>
            </w:r>
          </w:p>
        </w:tc>
        <w:tc>
          <w:tcPr>
            <w:tcW w:w="1080" w:type="dxa"/>
            <w:shd w:val="clear" w:color="auto" w:fill="00B5E2" w:themeFill="accent1"/>
          </w:tcPr>
          <w:p w14:paraId="6C2D573B" w14:textId="37214EF1" w:rsidR="00870C34" w:rsidRPr="00BC6495" w:rsidRDefault="00877344" w:rsidP="001E44B6">
            <w:pPr>
              <w:tabs>
                <w:tab w:val="clear" w:pos="284"/>
              </w:tabs>
              <w:spacing w:line="240" w:lineRule="auto"/>
              <w:jc w:val="center"/>
              <w:rPr>
                <w:rFonts w:eastAsia="Times New Roman" w:cs="Times New Roman"/>
                <w:b/>
                <w:bCs/>
                <w:color w:val="FFFFFF"/>
                <w:kern w:val="0"/>
                <w:szCs w:val="20"/>
              </w:rPr>
            </w:pPr>
            <w:r>
              <w:rPr>
                <w:rFonts w:eastAsia="Times New Roman" w:cs="Times New Roman"/>
                <w:b/>
                <w:bCs/>
                <w:color w:val="FFFFFF"/>
                <w:kern w:val="0"/>
                <w:szCs w:val="20"/>
              </w:rPr>
              <w:t>1-percent</w:t>
            </w:r>
            <w:r>
              <w:rPr>
                <w:rFonts w:eastAsia="Times New Roman" w:cs="Times New Roman"/>
                <w:b/>
                <w:bCs/>
                <w:color w:val="FFFFFF"/>
                <w:kern w:val="0"/>
                <w:szCs w:val="20"/>
              </w:rPr>
              <w:br/>
              <w:t>(cfs)</w:t>
            </w:r>
          </w:p>
        </w:tc>
        <w:tc>
          <w:tcPr>
            <w:tcW w:w="1170" w:type="dxa"/>
            <w:shd w:val="clear" w:color="auto" w:fill="00B5E2" w:themeFill="accent1"/>
          </w:tcPr>
          <w:p w14:paraId="2278738A" w14:textId="13DE3B69" w:rsidR="00870C34" w:rsidRPr="00BC6495" w:rsidRDefault="00870C34" w:rsidP="001E44B6">
            <w:pPr>
              <w:tabs>
                <w:tab w:val="clear" w:pos="284"/>
              </w:tabs>
              <w:spacing w:line="240" w:lineRule="auto"/>
              <w:jc w:val="center"/>
              <w:rPr>
                <w:rFonts w:eastAsia="Times New Roman" w:cs="Times New Roman"/>
                <w:b/>
                <w:bCs/>
                <w:color w:val="FFFFFF"/>
                <w:kern w:val="0"/>
                <w:szCs w:val="20"/>
              </w:rPr>
            </w:pPr>
            <w:r w:rsidRPr="00BC6495">
              <w:rPr>
                <w:rFonts w:eastAsia="Times New Roman" w:cs="Times New Roman"/>
                <w:b/>
                <w:bCs/>
                <w:color w:val="FFFFFF"/>
                <w:kern w:val="0"/>
                <w:szCs w:val="20"/>
              </w:rPr>
              <w:t>Upper Limit</w:t>
            </w:r>
            <w:r w:rsidR="00877344">
              <w:rPr>
                <w:rFonts w:eastAsia="Times New Roman" w:cs="Times New Roman"/>
                <w:b/>
                <w:bCs/>
                <w:color w:val="FFFFFF"/>
                <w:kern w:val="0"/>
                <w:szCs w:val="20"/>
              </w:rPr>
              <w:t xml:space="preserve"> (cfs)</w:t>
            </w:r>
          </w:p>
        </w:tc>
        <w:tc>
          <w:tcPr>
            <w:tcW w:w="1251" w:type="dxa"/>
            <w:vMerge/>
            <w:shd w:val="clear" w:color="auto" w:fill="0B2F77"/>
          </w:tcPr>
          <w:p w14:paraId="01F5276A" w14:textId="77777777" w:rsidR="00870C34" w:rsidRPr="00A315D3" w:rsidRDefault="00870C34" w:rsidP="001E44B6">
            <w:pPr>
              <w:tabs>
                <w:tab w:val="clear" w:pos="284"/>
              </w:tabs>
              <w:spacing w:line="240" w:lineRule="auto"/>
              <w:jc w:val="center"/>
              <w:rPr>
                <w:rFonts w:eastAsia="Times New Roman" w:cs="Times New Roman"/>
                <w:b/>
                <w:bCs/>
                <w:color w:val="FFFFFF"/>
                <w:kern w:val="0"/>
                <w:szCs w:val="20"/>
              </w:rPr>
            </w:pPr>
          </w:p>
        </w:tc>
      </w:tr>
      <w:tr w:rsidR="00140050" w:rsidRPr="00A315D3" w14:paraId="0F576F9A" w14:textId="77777777" w:rsidTr="0022732E">
        <w:trPr>
          <w:cnfStyle w:val="000000010000" w:firstRow="0" w:lastRow="0" w:firstColumn="0" w:lastColumn="0" w:oddVBand="0" w:evenVBand="0" w:oddHBand="0" w:evenHBand="1" w:firstRowFirstColumn="0" w:firstRowLastColumn="0" w:lastRowFirstColumn="0" w:lastRowLastColumn="0"/>
          <w:trHeight w:val="809"/>
          <w:jc w:val="center"/>
        </w:trPr>
        <w:tc>
          <w:tcPr>
            <w:tcW w:w="1500" w:type="dxa"/>
          </w:tcPr>
          <w:p w14:paraId="5249FD1C" w14:textId="096AF975" w:rsidR="00140050" w:rsidRPr="00870C34" w:rsidRDefault="00AB4F1A" w:rsidP="00B344B3">
            <w:pPr>
              <w:pStyle w:val="BodyText"/>
              <w:jc w:val="center"/>
              <w:rPr>
                <w:szCs w:val="20"/>
              </w:rPr>
            </w:pPr>
            <w:r>
              <w:rPr>
                <w:szCs w:val="20"/>
              </w:rPr>
              <w:t>Gage 08101000</w:t>
            </w:r>
          </w:p>
        </w:tc>
        <w:tc>
          <w:tcPr>
            <w:tcW w:w="1551" w:type="dxa"/>
          </w:tcPr>
          <w:p w14:paraId="7B7FFA67" w14:textId="399D4F6A" w:rsidR="00140050" w:rsidRPr="00870C34" w:rsidRDefault="00AB4F1A" w:rsidP="00AB4F1A">
            <w:pPr>
              <w:pStyle w:val="BodyText"/>
              <w:jc w:val="center"/>
              <w:rPr>
                <w:szCs w:val="20"/>
              </w:rPr>
            </w:pPr>
            <w:r>
              <w:rPr>
                <w:szCs w:val="20"/>
              </w:rPr>
              <w:t>Cowhouse CK at Pidcoke, TX</w:t>
            </w:r>
          </w:p>
        </w:tc>
        <w:tc>
          <w:tcPr>
            <w:tcW w:w="1440" w:type="dxa"/>
          </w:tcPr>
          <w:p w14:paraId="77B63C72" w14:textId="347D2D6B" w:rsidR="00140050" w:rsidRPr="00870C34" w:rsidRDefault="0022732E" w:rsidP="001E44B6">
            <w:pPr>
              <w:pStyle w:val="BodyText"/>
              <w:jc w:val="center"/>
              <w:rPr>
                <w:szCs w:val="20"/>
              </w:rPr>
            </w:pPr>
            <w:r>
              <w:rPr>
                <w:szCs w:val="20"/>
              </w:rPr>
              <w:t>USGS</w:t>
            </w:r>
          </w:p>
        </w:tc>
        <w:tc>
          <w:tcPr>
            <w:tcW w:w="1350" w:type="dxa"/>
          </w:tcPr>
          <w:p w14:paraId="2539EB82" w14:textId="0F6A56B8" w:rsidR="00140050" w:rsidRPr="00870C34" w:rsidRDefault="000B0B23" w:rsidP="001E44B6">
            <w:pPr>
              <w:jc w:val="center"/>
              <w:rPr>
                <w:szCs w:val="20"/>
              </w:rPr>
            </w:pPr>
            <w:r>
              <w:rPr>
                <w:szCs w:val="20"/>
              </w:rPr>
              <w:t>72,180</w:t>
            </w:r>
          </w:p>
        </w:tc>
        <w:tc>
          <w:tcPr>
            <w:tcW w:w="1080" w:type="dxa"/>
          </w:tcPr>
          <w:p w14:paraId="3A0CAB13" w14:textId="4525F748" w:rsidR="00140050" w:rsidRPr="00870C34" w:rsidRDefault="000B0B23" w:rsidP="001E44B6">
            <w:pPr>
              <w:spacing w:line="240" w:lineRule="auto"/>
              <w:jc w:val="center"/>
              <w:rPr>
                <w:rFonts w:eastAsia="Times New Roman" w:cs="Times New Roman"/>
                <w:kern w:val="0"/>
                <w:szCs w:val="20"/>
              </w:rPr>
            </w:pPr>
            <w:r>
              <w:rPr>
                <w:rFonts w:eastAsia="Times New Roman" w:cs="Times New Roman"/>
                <w:kern w:val="0"/>
                <w:szCs w:val="20"/>
              </w:rPr>
              <w:t>85,320</w:t>
            </w:r>
          </w:p>
        </w:tc>
        <w:tc>
          <w:tcPr>
            <w:tcW w:w="1170" w:type="dxa"/>
          </w:tcPr>
          <w:p w14:paraId="130BD15F" w14:textId="38EEF167" w:rsidR="00140050" w:rsidRPr="00870C34" w:rsidRDefault="000B0B23" w:rsidP="001E44B6">
            <w:pPr>
              <w:spacing w:line="240" w:lineRule="auto"/>
              <w:jc w:val="center"/>
              <w:rPr>
                <w:rFonts w:eastAsia="Times New Roman" w:cs="Times New Roman"/>
                <w:kern w:val="0"/>
                <w:szCs w:val="20"/>
              </w:rPr>
            </w:pPr>
            <w:r>
              <w:rPr>
                <w:rFonts w:eastAsia="Times New Roman" w:cs="Times New Roman"/>
                <w:kern w:val="0"/>
                <w:szCs w:val="20"/>
              </w:rPr>
              <w:t>104,800</w:t>
            </w:r>
          </w:p>
        </w:tc>
        <w:tc>
          <w:tcPr>
            <w:tcW w:w="1251" w:type="dxa"/>
          </w:tcPr>
          <w:p w14:paraId="476BD857" w14:textId="6E0ACB5D" w:rsidR="00140050" w:rsidRPr="00F4027D" w:rsidRDefault="000B0B23" w:rsidP="007E1F1A">
            <w:pPr>
              <w:spacing w:line="240" w:lineRule="auto"/>
              <w:jc w:val="center"/>
              <w:rPr>
                <w:rFonts w:eastAsia="Times New Roman" w:cs="Times New Roman"/>
                <w:kern w:val="0"/>
                <w:szCs w:val="20"/>
                <w:highlight w:val="yellow"/>
              </w:rPr>
            </w:pPr>
            <w:r>
              <w:rPr>
                <w:rFonts w:eastAsia="Times New Roman" w:cs="Times New Roman"/>
                <w:kern w:val="0"/>
                <w:szCs w:val="20"/>
              </w:rPr>
              <w:t>90,851</w:t>
            </w:r>
          </w:p>
        </w:tc>
      </w:tr>
      <w:tr w:rsidR="000B0B23" w:rsidRPr="00A315D3" w14:paraId="45826219" w14:textId="77777777" w:rsidTr="0022732E">
        <w:trPr>
          <w:cnfStyle w:val="000000100000" w:firstRow="0" w:lastRow="0" w:firstColumn="0" w:lastColumn="0" w:oddVBand="0" w:evenVBand="0" w:oddHBand="1" w:evenHBand="0" w:firstRowFirstColumn="0" w:firstRowLastColumn="0" w:lastRowFirstColumn="0" w:lastRowLastColumn="0"/>
          <w:trHeight w:val="809"/>
          <w:jc w:val="center"/>
        </w:trPr>
        <w:tc>
          <w:tcPr>
            <w:tcW w:w="1500" w:type="dxa"/>
          </w:tcPr>
          <w:p w14:paraId="61B434DB" w14:textId="38A34B72" w:rsidR="000B0B23" w:rsidRDefault="00E61545" w:rsidP="00B344B3">
            <w:pPr>
              <w:pStyle w:val="BodyText"/>
              <w:jc w:val="center"/>
              <w:rPr>
                <w:szCs w:val="20"/>
              </w:rPr>
            </w:pPr>
            <w:r>
              <w:rPr>
                <w:szCs w:val="20"/>
              </w:rPr>
              <w:t>House Cr</w:t>
            </w:r>
            <w:r w:rsidR="00B344B3">
              <w:rPr>
                <w:szCs w:val="20"/>
              </w:rPr>
              <w:t>eek at</w:t>
            </w:r>
            <w:r>
              <w:rPr>
                <w:szCs w:val="20"/>
              </w:rPr>
              <w:t xml:space="preserve"> FM 116</w:t>
            </w:r>
          </w:p>
        </w:tc>
        <w:tc>
          <w:tcPr>
            <w:tcW w:w="1551" w:type="dxa"/>
          </w:tcPr>
          <w:p w14:paraId="595C9B89" w14:textId="68185008" w:rsidR="000B0B23" w:rsidRDefault="00AB4F1A" w:rsidP="00AB4F1A">
            <w:pPr>
              <w:pStyle w:val="BodyText"/>
              <w:jc w:val="center"/>
              <w:rPr>
                <w:szCs w:val="20"/>
              </w:rPr>
            </w:pPr>
            <w:r>
              <w:rPr>
                <w:szCs w:val="20"/>
              </w:rPr>
              <w:t>Coryell County FIS</w:t>
            </w:r>
          </w:p>
        </w:tc>
        <w:tc>
          <w:tcPr>
            <w:tcW w:w="1440" w:type="dxa"/>
          </w:tcPr>
          <w:p w14:paraId="50C7B8C6" w14:textId="3BC9023C" w:rsidR="000B0B23" w:rsidRDefault="00AB4F1A" w:rsidP="001E44B6">
            <w:pPr>
              <w:pStyle w:val="BodyText"/>
              <w:jc w:val="center"/>
              <w:rPr>
                <w:szCs w:val="20"/>
              </w:rPr>
            </w:pPr>
            <w:r w:rsidRPr="00870C34">
              <w:rPr>
                <w:szCs w:val="20"/>
              </w:rPr>
              <w:t>USGS Report 77-110 methodologies</w:t>
            </w:r>
          </w:p>
        </w:tc>
        <w:tc>
          <w:tcPr>
            <w:tcW w:w="1350" w:type="dxa"/>
          </w:tcPr>
          <w:p w14:paraId="19087440" w14:textId="28464392" w:rsidR="000B0B23" w:rsidRDefault="00E61545" w:rsidP="001E44B6">
            <w:pPr>
              <w:jc w:val="center"/>
              <w:rPr>
                <w:szCs w:val="20"/>
              </w:rPr>
            </w:pPr>
            <w:r>
              <w:rPr>
                <w:szCs w:val="20"/>
              </w:rPr>
              <w:t>4,351</w:t>
            </w:r>
          </w:p>
        </w:tc>
        <w:tc>
          <w:tcPr>
            <w:tcW w:w="1080" w:type="dxa"/>
          </w:tcPr>
          <w:p w14:paraId="74607970" w14:textId="2A9AF21D" w:rsidR="000B0B23" w:rsidRDefault="00E61545" w:rsidP="001E44B6">
            <w:pPr>
              <w:spacing w:line="240" w:lineRule="auto"/>
              <w:jc w:val="center"/>
              <w:rPr>
                <w:rFonts w:eastAsia="Times New Roman" w:cs="Times New Roman"/>
                <w:kern w:val="0"/>
                <w:szCs w:val="20"/>
              </w:rPr>
            </w:pPr>
            <w:r>
              <w:rPr>
                <w:rFonts w:eastAsia="Times New Roman" w:cs="Times New Roman"/>
                <w:kern w:val="0"/>
                <w:szCs w:val="20"/>
              </w:rPr>
              <w:t>8,685</w:t>
            </w:r>
          </w:p>
        </w:tc>
        <w:tc>
          <w:tcPr>
            <w:tcW w:w="1170" w:type="dxa"/>
          </w:tcPr>
          <w:p w14:paraId="341FB4C0" w14:textId="15470440" w:rsidR="000B0B23" w:rsidRDefault="00E61545" w:rsidP="001E44B6">
            <w:pPr>
              <w:spacing w:line="240" w:lineRule="auto"/>
              <w:jc w:val="center"/>
              <w:rPr>
                <w:rFonts w:eastAsia="Times New Roman" w:cs="Times New Roman"/>
                <w:kern w:val="0"/>
                <w:szCs w:val="20"/>
              </w:rPr>
            </w:pPr>
            <w:r>
              <w:rPr>
                <w:rFonts w:eastAsia="Times New Roman" w:cs="Times New Roman"/>
                <w:kern w:val="0"/>
                <w:szCs w:val="20"/>
              </w:rPr>
              <w:t>17,327</w:t>
            </w:r>
          </w:p>
        </w:tc>
        <w:tc>
          <w:tcPr>
            <w:tcW w:w="1251" w:type="dxa"/>
          </w:tcPr>
          <w:p w14:paraId="3F65F55A" w14:textId="38A1F14A" w:rsidR="000B0B23" w:rsidRDefault="00E61545" w:rsidP="007E1F1A">
            <w:pPr>
              <w:spacing w:line="240" w:lineRule="auto"/>
              <w:jc w:val="center"/>
              <w:rPr>
                <w:rFonts w:eastAsia="Times New Roman" w:cs="Times New Roman"/>
                <w:kern w:val="0"/>
                <w:szCs w:val="20"/>
              </w:rPr>
            </w:pPr>
            <w:r>
              <w:rPr>
                <w:rFonts w:eastAsia="Times New Roman" w:cs="Times New Roman"/>
                <w:kern w:val="0"/>
                <w:szCs w:val="20"/>
              </w:rPr>
              <w:t>6,556</w:t>
            </w:r>
          </w:p>
        </w:tc>
      </w:tr>
      <w:tr w:rsidR="00E61545" w:rsidRPr="00A315D3" w14:paraId="216E410F" w14:textId="77777777" w:rsidTr="0022732E">
        <w:trPr>
          <w:cnfStyle w:val="000000010000" w:firstRow="0" w:lastRow="0" w:firstColumn="0" w:lastColumn="0" w:oddVBand="0" w:evenVBand="0" w:oddHBand="0" w:evenHBand="1" w:firstRowFirstColumn="0" w:firstRowLastColumn="0" w:lastRowFirstColumn="0" w:lastRowLastColumn="0"/>
          <w:trHeight w:val="809"/>
          <w:jc w:val="center"/>
        </w:trPr>
        <w:tc>
          <w:tcPr>
            <w:tcW w:w="1500" w:type="dxa"/>
          </w:tcPr>
          <w:p w14:paraId="7871279C" w14:textId="0F7BF1F7" w:rsidR="00E61545" w:rsidRDefault="00E61545" w:rsidP="000B0B23">
            <w:pPr>
              <w:pStyle w:val="BodyText"/>
              <w:jc w:val="center"/>
              <w:rPr>
                <w:szCs w:val="20"/>
              </w:rPr>
            </w:pPr>
            <w:r>
              <w:rPr>
                <w:rFonts w:eastAsia="Times New Roman" w:cs="Times New Roman"/>
                <w:kern w:val="0"/>
                <w:szCs w:val="24"/>
              </w:rPr>
              <w:t>House Creek approximately 1600 ft down stream of FM1113</w:t>
            </w:r>
          </w:p>
        </w:tc>
        <w:tc>
          <w:tcPr>
            <w:tcW w:w="1551" w:type="dxa"/>
          </w:tcPr>
          <w:p w14:paraId="28097326" w14:textId="07C33793" w:rsidR="00E61545" w:rsidRDefault="00E61545" w:rsidP="00AB4F1A">
            <w:pPr>
              <w:pStyle w:val="BodyText"/>
              <w:jc w:val="center"/>
              <w:rPr>
                <w:szCs w:val="20"/>
              </w:rPr>
            </w:pPr>
            <w:r>
              <w:rPr>
                <w:szCs w:val="20"/>
              </w:rPr>
              <w:t>C</w:t>
            </w:r>
            <w:r w:rsidR="00AB4F1A">
              <w:rPr>
                <w:szCs w:val="20"/>
              </w:rPr>
              <w:t>oryell County FIS</w:t>
            </w:r>
          </w:p>
        </w:tc>
        <w:tc>
          <w:tcPr>
            <w:tcW w:w="1440" w:type="dxa"/>
          </w:tcPr>
          <w:p w14:paraId="0D934CCD" w14:textId="62DBB586" w:rsidR="00E61545" w:rsidRDefault="00AB4F1A" w:rsidP="00E61545">
            <w:pPr>
              <w:pStyle w:val="BodyText"/>
              <w:jc w:val="center"/>
              <w:rPr>
                <w:szCs w:val="20"/>
              </w:rPr>
            </w:pPr>
            <w:r w:rsidRPr="00870C34">
              <w:rPr>
                <w:szCs w:val="20"/>
              </w:rPr>
              <w:t>USGS Report 77-110 methodologies</w:t>
            </w:r>
          </w:p>
        </w:tc>
        <w:tc>
          <w:tcPr>
            <w:tcW w:w="1350" w:type="dxa"/>
          </w:tcPr>
          <w:p w14:paraId="66F61FB3" w14:textId="065BAEAE" w:rsidR="00E61545" w:rsidRDefault="00E61545" w:rsidP="001E44B6">
            <w:pPr>
              <w:jc w:val="center"/>
              <w:rPr>
                <w:szCs w:val="20"/>
              </w:rPr>
            </w:pPr>
            <w:r>
              <w:rPr>
                <w:szCs w:val="20"/>
              </w:rPr>
              <w:t>937</w:t>
            </w:r>
          </w:p>
        </w:tc>
        <w:tc>
          <w:tcPr>
            <w:tcW w:w="1080" w:type="dxa"/>
          </w:tcPr>
          <w:p w14:paraId="0B2AFDF5" w14:textId="06490B3A" w:rsidR="00E61545" w:rsidRDefault="00E61545" w:rsidP="001E44B6">
            <w:pPr>
              <w:spacing w:line="240" w:lineRule="auto"/>
              <w:jc w:val="center"/>
              <w:rPr>
                <w:rFonts w:eastAsia="Times New Roman" w:cs="Times New Roman"/>
                <w:kern w:val="0"/>
                <w:szCs w:val="20"/>
              </w:rPr>
            </w:pPr>
            <w:r>
              <w:rPr>
                <w:rFonts w:eastAsia="Times New Roman" w:cs="Times New Roman"/>
                <w:kern w:val="0"/>
                <w:szCs w:val="20"/>
              </w:rPr>
              <w:t>1,870</w:t>
            </w:r>
          </w:p>
        </w:tc>
        <w:tc>
          <w:tcPr>
            <w:tcW w:w="1170" w:type="dxa"/>
          </w:tcPr>
          <w:p w14:paraId="0B5D5103" w14:textId="3B406485" w:rsidR="00E61545" w:rsidRDefault="00E61545" w:rsidP="001E44B6">
            <w:pPr>
              <w:spacing w:line="240" w:lineRule="auto"/>
              <w:jc w:val="center"/>
              <w:rPr>
                <w:rFonts w:eastAsia="Times New Roman" w:cs="Times New Roman"/>
                <w:kern w:val="0"/>
                <w:szCs w:val="20"/>
              </w:rPr>
            </w:pPr>
            <w:r>
              <w:rPr>
                <w:rFonts w:eastAsia="Times New Roman" w:cs="Times New Roman"/>
                <w:kern w:val="0"/>
                <w:szCs w:val="20"/>
              </w:rPr>
              <w:t>3,731</w:t>
            </w:r>
          </w:p>
        </w:tc>
        <w:tc>
          <w:tcPr>
            <w:tcW w:w="1251" w:type="dxa"/>
          </w:tcPr>
          <w:p w14:paraId="15F98BA0" w14:textId="1661AD15" w:rsidR="00E61545" w:rsidRDefault="00E61545" w:rsidP="007E1F1A">
            <w:pPr>
              <w:spacing w:line="240" w:lineRule="auto"/>
              <w:jc w:val="center"/>
              <w:rPr>
                <w:rFonts w:eastAsia="Times New Roman" w:cs="Times New Roman"/>
                <w:kern w:val="0"/>
                <w:szCs w:val="20"/>
              </w:rPr>
            </w:pPr>
            <w:r>
              <w:rPr>
                <w:rFonts w:eastAsia="Times New Roman" w:cs="Times New Roman"/>
                <w:kern w:val="0"/>
                <w:szCs w:val="20"/>
              </w:rPr>
              <w:t>1,59</w:t>
            </w:r>
            <w:r w:rsidR="007E1F1A">
              <w:rPr>
                <w:rFonts w:eastAsia="Times New Roman" w:cs="Times New Roman"/>
                <w:kern w:val="0"/>
                <w:szCs w:val="20"/>
              </w:rPr>
              <w:t>5</w:t>
            </w:r>
          </w:p>
        </w:tc>
      </w:tr>
      <w:tr w:rsidR="00E61545" w:rsidRPr="00A315D3" w14:paraId="78FB1CED" w14:textId="77777777" w:rsidTr="0022732E">
        <w:trPr>
          <w:cnfStyle w:val="000000100000" w:firstRow="0" w:lastRow="0" w:firstColumn="0" w:lastColumn="0" w:oddVBand="0" w:evenVBand="0" w:oddHBand="1" w:evenHBand="0" w:firstRowFirstColumn="0" w:firstRowLastColumn="0" w:lastRowFirstColumn="0" w:lastRowLastColumn="0"/>
          <w:trHeight w:val="809"/>
          <w:jc w:val="center"/>
        </w:trPr>
        <w:tc>
          <w:tcPr>
            <w:tcW w:w="1500" w:type="dxa"/>
          </w:tcPr>
          <w:p w14:paraId="705A487D" w14:textId="1D397F12" w:rsidR="00E61545" w:rsidRDefault="00E61545" w:rsidP="000B0B23">
            <w:pPr>
              <w:pStyle w:val="BodyText"/>
              <w:jc w:val="center"/>
              <w:rPr>
                <w:rFonts w:eastAsia="Times New Roman" w:cs="Times New Roman"/>
                <w:kern w:val="0"/>
                <w:szCs w:val="24"/>
              </w:rPr>
            </w:pPr>
            <w:r>
              <w:rPr>
                <w:rFonts w:eastAsia="Times New Roman" w:cs="Times New Roman"/>
                <w:kern w:val="0"/>
                <w:szCs w:val="24"/>
              </w:rPr>
              <w:t>Stream CC1 approxiamtely 2800 ft Upstream of House Creek</w:t>
            </w:r>
          </w:p>
        </w:tc>
        <w:tc>
          <w:tcPr>
            <w:tcW w:w="1551" w:type="dxa"/>
          </w:tcPr>
          <w:p w14:paraId="529BE8A2" w14:textId="6737AEC2" w:rsidR="00E61545" w:rsidRDefault="00AB4F1A" w:rsidP="00AB4F1A">
            <w:pPr>
              <w:pStyle w:val="BodyText"/>
              <w:jc w:val="center"/>
              <w:rPr>
                <w:szCs w:val="20"/>
              </w:rPr>
            </w:pPr>
            <w:r>
              <w:rPr>
                <w:szCs w:val="20"/>
              </w:rPr>
              <w:t>Coryell County FIS</w:t>
            </w:r>
          </w:p>
        </w:tc>
        <w:tc>
          <w:tcPr>
            <w:tcW w:w="1440" w:type="dxa"/>
          </w:tcPr>
          <w:p w14:paraId="4238670B" w14:textId="786F473C" w:rsidR="00E61545" w:rsidRDefault="00AB4F1A" w:rsidP="00E61545">
            <w:pPr>
              <w:pStyle w:val="BodyText"/>
              <w:jc w:val="center"/>
              <w:rPr>
                <w:szCs w:val="20"/>
              </w:rPr>
            </w:pPr>
            <w:r w:rsidRPr="00870C34">
              <w:rPr>
                <w:szCs w:val="20"/>
              </w:rPr>
              <w:t>USGS Report 77-110 methodologies</w:t>
            </w:r>
          </w:p>
        </w:tc>
        <w:tc>
          <w:tcPr>
            <w:tcW w:w="1350" w:type="dxa"/>
          </w:tcPr>
          <w:p w14:paraId="08D5E2D2" w14:textId="13D9B2BB" w:rsidR="00E61545" w:rsidRDefault="00E61545" w:rsidP="001E44B6">
            <w:pPr>
              <w:jc w:val="center"/>
              <w:rPr>
                <w:szCs w:val="20"/>
              </w:rPr>
            </w:pPr>
            <w:r>
              <w:rPr>
                <w:szCs w:val="20"/>
              </w:rPr>
              <w:t>2,740</w:t>
            </w:r>
          </w:p>
        </w:tc>
        <w:tc>
          <w:tcPr>
            <w:tcW w:w="1080" w:type="dxa"/>
          </w:tcPr>
          <w:p w14:paraId="106B5341" w14:textId="53734F25" w:rsidR="00E61545" w:rsidRDefault="00E61545" w:rsidP="001E44B6">
            <w:pPr>
              <w:spacing w:line="240" w:lineRule="auto"/>
              <w:jc w:val="center"/>
              <w:rPr>
                <w:rFonts w:eastAsia="Times New Roman" w:cs="Times New Roman"/>
                <w:kern w:val="0"/>
                <w:szCs w:val="20"/>
              </w:rPr>
            </w:pPr>
            <w:r>
              <w:rPr>
                <w:rFonts w:eastAsia="Times New Roman" w:cs="Times New Roman"/>
                <w:kern w:val="0"/>
                <w:szCs w:val="20"/>
              </w:rPr>
              <w:t>5,470</w:t>
            </w:r>
          </w:p>
        </w:tc>
        <w:tc>
          <w:tcPr>
            <w:tcW w:w="1170" w:type="dxa"/>
          </w:tcPr>
          <w:p w14:paraId="0065AA9A" w14:textId="21AA667C" w:rsidR="00E61545" w:rsidRDefault="00E61545" w:rsidP="001E44B6">
            <w:pPr>
              <w:spacing w:line="240" w:lineRule="auto"/>
              <w:jc w:val="center"/>
              <w:rPr>
                <w:rFonts w:eastAsia="Times New Roman" w:cs="Times New Roman"/>
                <w:kern w:val="0"/>
                <w:szCs w:val="20"/>
              </w:rPr>
            </w:pPr>
            <w:r>
              <w:rPr>
                <w:rFonts w:eastAsia="Times New Roman" w:cs="Times New Roman"/>
                <w:kern w:val="0"/>
                <w:szCs w:val="20"/>
              </w:rPr>
              <w:t>10,913</w:t>
            </w:r>
          </w:p>
        </w:tc>
        <w:tc>
          <w:tcPr>
            <w:tcW w:w="1251" w:type="dxa"/>
          </w:tcPr>
          <w:p w14:paraId="574E7C15" w14:textId="3FB6947B" w:rsidR="00E61545" w:rsidRDefault="00FC4FFE" w:rsidP="007E1F1A">
            <w:pPr>
              <w:spacing w:line="240" w:lineRule="auto"/>
              <w:jc w:val="center"/>
              <w:rPr>
                <w:rFonts w:eastAsia="Times New Roman" w:cs="Times New Roman"/>
                <w:kern w:val="0"/>
                <w:szCs w:val="20"/>
              </w:rPr>
            </w:pPr>
            <w:r>
              <w:rPr>
                <w:rFonts w:eastAsia="Times New Roman" w:cs="Times New Roman"/>
                <w:kern w:val="0"/>
                <w:szCs w:val="20"/>
              </w:rPr>
              <w:t>2,34</w:t>
            </w:r>
            <w:r w:rsidR="007E1F1A">
              <w:rPr>
                <w:rFonts w:eastAsia="Times New Roman" w:cs="Times New Roman"/>
                <w:kern w:val="0"/>
                <w:szCs w:val="20"/>
              </w:rPr>
              <w:t>6</w:t>
            </w:r>
          </w:p>
        </w:tc>
      </w:tr>
    </w:tbl>
    <w:p w14:paraId="4FA451C2" w14:textId="77777777" w:rsidR="00877344" w:rsidRDefault="00877344" w:rsidP="0048315A">
      <w:pPr>
        <w:pStyle w:val="BodyText"/>
        <w:rPr>
          <w:sz w:val="16"/>
          <w:szCs w:val="16"/>
          <w:vertAlign w:val="superscript"/>
        </w:rPr>
      </w:pPr>
    </w:p>
    <w:p w14:paraId="7F9A5C8C" w14:textId="7236AAB1" w:rsidR="00DB51AA" w:rsidRDefault="005C04C0" w:rsidP="0048315A">
      <w:pPr>
        <w:pStyle w:val="BodyText"/>
        <w:rPr>
          <w:szCs w:val="16"/>
        </w:rPr>
      </w:pPr>
      <w:r w:rsidRPr="001733FE">
        <w:rPr>
          <w:szCs w:val="16"/>
        </w:rPr>
        <w:fldChar w:fldCharType="begin"/>
      </w:r>
      <w:r w:rsidRPr="001733FE">
        <w:rPr>
          <w:szCs w:val="16"/>
        </w:rPr>
        <w:instrText xml:space="preserve"> REF _Ref61266175 \h </w:instrText>
      </w:r>
      <w:r w:rsidR="00C94E71" w:rsidRPr="001733FE">
        <w:rPr>
          <w:szCs w:val="16"/>
        </w:rPr>
        <w:instrText xml:space="preserve"> \* MERGEFORMAT </w:instrText>
      </w:r>
      <w:r w:rsidRPr="001733FE">
        <w:rPr>
          <w:szCs w:val="16"/>
        </w:rPr>
      </w:r>
      <w:r w:rsidRPr="001733FE">
        <w:rPr>
          <w:szCs w:val="16"/>
        </w:rPr>
        <w:fldChar w:fldCharType="separate"/>
      </w:r>
      <w:r w:rsidR="007D7CA7">
        <w:t xml:space="preserve">Figure </w:t>
      </w:r>
      <w:r w:rsidR="007D7CA7">
        <w:rPr>
          <w:noProof/>
        </w:rPr>
        <w:t>7</w:t>
      </w:r>
      <w:r w:rsidRPr="001733FE">
        <w:rPr>
          <w:szCs w:val="16"/>
        </w:rPr>
        <w:fldChar w:fldCharType="end"/>
      </w:r>
      <w:r w:rsidRPr="001733FE">
        <w:rPr>
          <w:szCs w:val="16"/>
        </w:rPr>
        <w:t xml:space="preserve"> </w:t>
      </w:r>
      <w:r w:rsidR="006F6670" w:rsidRPr="001733FE">
        <w:rPr>
          <w:szCs w:val="16"/>
        </w:rPr>
        <w:t>sh</w:t>
      </w:r>
      <w:r w:rsidR="00955C4B" w:rsidRPr="001733FE">
        <w:rPr>
          <w:szCs w:val="16"/>
        </w:rPr>
        <w:t xml:space="preserve">ows the final results of the </w:t>
      </w:r>
      <w:r w:rsidRPr="001733FE">
        <w:rPr>
          <w:szCs w:val="16"/>
        </w:rPr>
        <w:t>calibration locations compared to modeled flows</w:t>
      </w:r>
      <w:r w:rsidR="006F6670" w:rsidRPr="001733FE">
        <w:rPr>
          <w:szCs w:val="16"/>
        </w:rPr>
        <w:t xml:space="preserve"> throughout the </w:t>
      </w:r>
      <w:r w:rsidR="00FC4FFE">
        <w:rPr>
          <w:szCs w:val="16"/>
        </w:rPr>
        <w:t>Cowhouse</w:t>
      </w:r>
      <w:r w:rsidR="00A91F0D" w:rsidRPr="001733FE">
        <w:rPr>
          <w:szCs w:val="16"/>
        </w:rPr>
        <w:t xml:space="preserve"> </w:t>
      </w:r>
      <w:r w:rsidR="00E07907" w:rsidRPr="001733FE">
        <w:rPr>
          <w:szCs w:val="16"/>
        </w:rPr>
        <w:t>watershed along with error bars created using the difference between 1</w:t>
      </w:r>
      <w:r w:rsidR="005C72F6">
        <w:rPr>
          <w:rFonts w:cstheme="minorHAnsi"/>
        </w:rPr>
        <w:t>-percent</w:t>
      </w:r>
      <w:r w:rsidR="00E07907" w:rsidRPr="001733FE">
        <w:rPr>
          <w:szCs w:val="16"/>
        </w:rPr>
        <w:t xml:space="preserve"> and 1</w:t>
      </w:r>
      <w:r w:rsidR="005C72F6">
        <w:rPr>
          <w:rFonts w:cstheme="minorHAnsi"/>
        </w:rPr>
        <w:t>-percent plus</w:t>
      </w:r>
      <w:r w:rsidR="00E07907" w:rsidRPr="001733FE">
        <w:rPr>
          <w:szCs w:val="16"/>
        </w:rPr>
        <w:t xml:space="preserve"> discharges and 1</w:t>
      </w:r>
      <w:r w:rsidR="005C72F6">
        <w:rPr>
          <w:rFonts w:cstheme="minorHAnsi"/>
        </w:rPr>
        <w:t>-percent</w:t>
      </w:r>
      <w:r w:rsidR="00E07907" w:rsidRPr="001733FE">
        <w:rPr>
          <w:szCs w:val="16"/>
        </w:rPr>
        <w:t xml:space="preserve"> and 1</w:t>
      </w:r>
      <w:r w:rsidR="005C72F6">
        <w:rPr>
          <w:rFonts w:cstheme="minorHAnsi"/>
        </w:rPr>
        <w:t>-percent</w:t>
      </w:r>
      <w:r w:rsidR="005C72F6" w:rsidRPr="001733FE">
        <w:rPr>
          <w:rFonts w:cstheme="minorHAnsi"/>
        </w:rPr>
        <w:t xml:space="preserve"> </w:t>
      </w:r>
      <w:r w:rsidR="005C72F6">
        <w:rPr>
          <w:rFonts w:cstheme="minorHAnsi"/>
        </w:rPr>
        <w:t>minus</w:t>
      </w:r>
      <w:r w:rsidR="00E07907" w:rsidRPr="001733FE">
        <w:rPr>
          <w:szCs w:val="16"/>
        </w:rPr>
        <w:t xml:space="preserve"> discharge as minimum and maximum values. </w:t>
      </w:r>
      <w:r w:rsidR="00FC4FFE">
        <w:rPr>
          <w:szCs w:val="16"/>
        </w:rPr>
        <w:t>Four</w:t>
      </w:r>
      <w:r w:rsidR="005B4FBF">
        <w:rPr>
          <w:szCs w:val="16"/>
        </w:rPr>
        <w:t xml:space="preserve"> </w:t>
      </w:r>
      <w:r w:rsidR="006F6670" w:rsidRPr="001733FE">
        <w:rPr>
          <w:szCs w:val="16"/>
        </w:rPr>
        <w:t>comparisons were m</w:t>
      </w:r>
      <w:r w:rsidRPr="001733FE">
        <w:rPr>
          <w:szCs w:val="16"/>
        </w:rPr>
        <w:t xml:space="preserve">ade with varying drainage areas </w:t>
      </w:r>
      <w:r w:rsidR="006F6670" w:rsidRPr="001733FE">
        <w:rPr>
          <w:szCs w:val="16"/>
        </w:rPr>
        <w:t>to ensure the calibration of excess precipitation for different points over the entire watershed area.</w:t>
      </w:r>
      <w:r w:rsidR="00467431" w:rsidRPr="001733FE">
        <w:rPr>
          <w:szCs w:val="16"/>
        </w:rPr>
        <w:t xml:space="preserve"> This large collection of calibration points provides confidence in results throughout the entire </w:t>
      </w:r>
      <w:r w:rsidR="005C72F6" w:rsidRPr="005C72F6">
        <w:t>watershed</w:t>
      </w:r>
      <w:r w:rsidR="00467431" w:rsidRPr="001733FE">
        <w:rPr>
          <w:szCs w:val="16"/>
        </w:rPr>
        <w:t>.</w:t>
      </w:r>
      <w:r w:rsidR="00467431">
        <w:rPr>
          <w:szCs w:val="16"/>
        </w:rPr>
        <w:t xml:space="preserve"> </w:t>
      </w:r>
    </w:p>
    <w:p w14:paraId="29DD8DB7" w14:textId="77777777" w:rsidR="00F73FE0" w:rsidRDefault="00F73FE0" w:rsidP="0048315A">
      <w:pPr>
        <w:pStyle w:val="BodyText"/>
        <w:rPr>
          <w:szCs w:val="16"/>
        </w:rPr>
      </w:pPr>
    </w:p>
    <w:p w14:paraId="74738646" w14:textId="27ABD489" w:rsidR="00D55F6F" w:rsidRDefault="001E6A7C" w:rsidP="008B119C">
      <w:pPr>
        <w:pStyle w:val="BodyText"/>
        <w:keepNext/>
        <w:jc w:val="center"/>
      </w:pPr>
      <w:r w:rsidRPr="001E6A7C">
        <w:rPr>
          <w:noProof/>
        </w:rPr>
        <w:lastRenderedPageBreak/>
        <w:t xml:space="preserve"> </w:t>
      </w:r>
      <w:r>
        <w:rPr>
          <w:noProof/>
        </w:rPr>
        <w:drawing>
          <wp:inline distT="0" distB="0" distL="0" distR="0" wp14:anchorId="0605635D" wp14:editId="4CA06347">
            <wp:extent cx="5714999" cy="3727175"/>
            <wp:effectExtent l="0" t="0" r="19685" b="26035"/>
            <wp:docPr id="14" name="Chart 14">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2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r>
        <w:rPr>
          <w:rStyle w:val="CommentReference"/>
        </w:rPr>
        <w:t xml:space="preserve"> </w:t>
      </w:r>
    </w:p>
    <w:p w14:paraId="0EF3233E" w14:textId="33113F6D" w:rsidR="00C026C8" w:rsidRDefault="00D55F6F" w:rsidP="000A3B6D">
      <w:pPr>
        <w:pStyle w:val="Caption"/>
        <w:jc w:val="center"/>
      </w:pPr>
      <w:bookmarkStart w:id="79" w:name="_Ref61266175"/>
      <w:bookmarkStart w:id="80" w:name="_Toc112244161"/>
      <w:r>
        <w:t xml:space="preserve">Figure </w:t>
      </w:r>
      <w:r>
        <w:fldChar w:fldCharType="begin"/>
      </w:r>
      <w:r>
        <w:instrText xml:space="preserve"> SEQ Figure \* ARABIC </w:instrText>
      </w:r>
      <w:r>
        <w:fldChar w:fldCharType="separate"/>
      </w:r>
      <w:r w:rsidR="007D7CA7">
        <w:rPr>
          <w:noProof/>
        </w:rPr>
        <w:t>7</w:t>
      </w:r>
      <w:r>
        <w:fldChar w:fldCharType="end"/>
      </w:r>
      <w:bookmarkEnd w:id="79"/>
      <w:r>
        <w:t xml:space="preserve">: </w:t>
      </w:r>
      <w:r w:rsidR="005C04C0">
        <w:t>Calibration Comparison</w:t>
      </w:r>
      <w:bookmarkEnd w:id="80"/>
      <w:r w:rsidR="005C04C0">
        <w:t xml:space="preserve"> </w:t>
      </w:r>
    </w:p>
    <w:p w14:paraId="5FF5417B" w14:textId="41F6E7EF" w:rsidR="00B344B3" w:rsidRDefault="00C974D3" w:rsidP="009B7FC2">
      <w:pPr>
        <w:pStyle w:val="BodyText"/>
      </w:pPr>
      <w:r>
        <w:t xml:space="preserve">The </w:t>
      </w:r>
      <w:r w:rsidRPr="00CB5EEE">
        <w:t>WSEL</w:t>
      </w:r>
      <w:r>
        <w:t xml:space="preserve"> from the HEC-RAS model was validated using USGS stream gage</w:t>
      </w:r>
      <w:r w:rsidR="00635D2C">
        <w:t xml:space="preserve"> </w:t>
      </w:r>
      <w:r>
        <w:t xml:space="preserve">08101000. Based on the </w:t>
      </w:r>
      <w:r w:rsidRPr="00246821">
        <w:t xml:space="preserve">published rating </w:t>
      </w:r>
      <w:r>
        <w:t>for the USGS gage</w:t>
      </w:r>
      <w:r w:rsidRPr="00246821">
        <w:t xml:space="preserve">, </w:t>
      </w:r>
      <w:r w:rsidR="00545F63">
        <w:t xml:space="preserve">a 1-percent gage WSEL was calculated, along with upper and lower WSELs bounds, using the 1-percent flow estimated by the gage analysis. These were compared to the WSEL at the same location in the Cowhouse BLE model, as shown in Table 12. </w:t>
      </w:r>
      <w:r>
        <w:t>The model WSEL validation was considered acceptable even though it was slightly lower than the gage’s WSEL range since further adjustment of the model could impact the model flows, pushing them beyond the upper limit of the gage analysis flows; and flow validation was given higher priority for the 2D BLE modeling validation.</w:t>
      </w:r>
      <w:r w:rsidDel="0064497D">
        <w:t xml:space="preserve"> </w:t>
      </w:r>
    </w:p>
    <w:p w14:paraId="64307CC1" w14:textId="63E4A9FE" w:rsidR="009B7FC2" w:rsidRPr="005B4FBF" w:rsidRDefault="009B7FC2" w:rsidP="009B7FC2">
      <w:pPr>
        <w:pStyle w:val="Caption"/>
        <w:jc w:val="center"/>
      </w:pPr>
      <w:bookmarkStart w:id="81" w:name="_Ref94534734"/>
      <w:bookmarkStart w:id="82" w:name="_Toc94534908"/>
      <w:bookmarkStart w:id="83" w:name="_Toc94535323"/>
      <w:bookmarkStart w:id="84" w:name="_Toc112244175"/>
      <w:r w:rsidRPr="005B4FBF">
        <w:t xml:space="preserve">Table </w:t>
      </w:r>
      <w:r w:rsidRPr="005B4FBF">
        <w:fldChar w:fldCharType="begin"/>
      </w:r>
      <w:r w:rsidRPr="005B4FBF">
        <w:instrText xml:space="preserve"> SEQ Table \* ARABIC </w:instrText>
      </w:r>
      <w:r w:rsidRPr="005B4FBF">
        <w:fldChar w:fldCharType="separate"/>
      </w:r>
      <w:r w:rsidR="007D7CA7">
        <w:rPr>
          <w:noProof/>
        </w:rPr>
        <w:t>12</w:t>
      </w:r>
      <w:r w:rsidRPr="005B4FBF">
        <w:fldChar w:fldCharType="end"/>
      </w:r>
      <w:bookmarkEnd w:id="81"/>
      <w:r w:rsidRPr="005B4FBF">
        <w:t xml:space="preserve">: </w:t>
      </w:r>
      <w:r w:rsidR="00DB51AA">
        <w:t>1-percent</w:t>
      </w:r>
      <w:r w:rsidRPr="005B4FBF">
        <w:t xml:space="preserve"> Gage WSEL and RAS WSEL Comparison</w:t>
      </w:r>
      <w:bookmarkEnd w:id="82"/>
      <w:bookmarkEnd w:id="83"/>
      <w:bookmarkEnd w:id="84"/>
    </w:p>
    <w:tbl>
      <w:tblPr>
        <w:tblStyle w:val="FEMATable"/>
        <w:tblW w:w="7919" w:type="dxa"/>
        <w:jc w:val="center"/>
        <w:tblLook w:val="04A0" w:firstRow="1" w:lastRow="0" w:firstColumn="1" w:lastColumn="0" w:noHBand="0" w:noVBand="1"/>
      </w:tblPr>
      <w:tblGrid>
        <w:gridCol w:w="1984"/>
        <w:gridCol w:w="1257"/>
        <w:gridCol w:w="85"/>
        <w:gridCol w:w="1623"/>
        <w:gridCol w:w="1437"/>
        <w:gridCol w:w="1533"/>
      </w:tblGrid>
      <w:tr w:rsidR="009B7FC2" w:rsidRPr="009B7FC2" w14:paraId="45B75B17" w14:textId="77777777" w:rsidTr="00DB51AA">
        <w:trPr>
          <w:cnfStyle w:val="100000000000" w:firstRow="1" w:lastRow="0" w:firstColumn="0" w:lastColumn="0" w:oddVBand="0" w:evenVBand="0" w:oddHBand="0" w:evenHBand="0" w:firstRowFirstColumn="0" w:firstRowLastColumn="0" w:lastRowFirstColumn="0" w:lastRowLastColumn="0"/>
          <w:trHeight w:hRule="exact" w:val="640"/>
          <w:jc w:val="center"/>
        </w:trPr>
        <w:tc>
          <w:tcPr>
            <w:tcW w:w="1984" w:type="dxa"/>
            <w:shd w:val="clear" w:color="auto" w:fill="00B5E2" w:themeFill="accent1"/>
            <w:vAlign w:val="center"/>
          </w:tcPr>
          <w:p w14:paraId="332ED434" w14:textId="77777777" w:rsidR="009B7FC2" w:rsidRPr="005B4FBF" w:rsidRDefault="009B7FC2" w:rsidP="00574955">
            <w:pPr>
              <w:tabs>
                <w:tab w:val="clear" w:pos="284"/>
              </w:tabs>
              <w:spacing w:after="60" w:line="240" w:lineRule="auto"/>
              <w:rPr>
                <w:rFonts w:eastAsia="Times New Roman" w:cs="Times New Roman"/>
                <w:color w:val="FFFFFF" w:themeColor="background2"/>
                <w:kern w:val="0"/>
                <w:szCs w:val="24"/>
              </w:rPr>
            </w:pPr>
            <w:r w:rsidRPr="005B4FBF">
              <w:rPr>
                <w:rFonts w:eastAsia="Times New Roman" w:cs="Times New Roman"/>
                <w:color w:val="FFFFFF" w:themeColor="background2"/>
                <w:kern w:val="0"/>
                <w:szCs w:val="24"/>
              </w:rPr>
              <w:t>USGS Gage ID</w:t>
            </w:r>
          </w:p>
        </w:tc>
        <w:tc>
          <w:tcPr>
            <w:tcW w:w="1342" w:type="dxa"/>
            <w:gridSpan w:val="2"/>
            <w:shd w:val="clear" w:color="auto" w:fill="00B5E2" w:themeFill="accent1"/>
            <w:vAlign w:val="center"/>
          </w:tcPr>
          <w:p w14:paraId="268F8B6F" w14:textId="76A5E062" w:rsidR="009B7FC2" w:rsidRPr="005B4FBF" w:rsidRDefault="009B7FC2" w:rsidP="00574955">
            <w:pPr>
              <w:tabs>
                <w:tab w:val="clear" w:pos="284"/>
              </w:tabs>
              <w:spacing w:after="60" w:line="240" w:lineRule="auto"/>
              <w:rPr>
                <w:rFonts w:eastAsia="Times New Roman" w:cs="Times New Roman"/>
                <w:color w:val="FFFFFF" w:themeColor="background2"/>
                <w:kern w:val="0"/>
                <w:szCs w:val="24"/>
              </w:rPr>
            </w:pPr>
            <w:r w:rsidRPr="005B4FBF">
              <w:rPr>
                <w:rFonts w:eastAsia="Times New Roman" w:cs="Times New Roman"/>
                <w:color w:val="FFFFFF" w:themeColor="background2"/>
                <w:kern w:val="0"/>
                <w:szCs w:val="24"/>
              </w:rPr>
              <w:t>Lower Bound</w:t>
            </w:r>
            <w:r w:rsidR="00DB51AA">
              <w:rPr>
                <w:rFonts w:eastAsia="Times New Roman" w:cs="Times New Roman"/>
                <w:color w:val="FFFFFF" w:themeColor="background2"/>
                <w:kern w:val="0"/>
                <w:szCs w:val="24"/>
              </w:rPr>
              <w:t xml:space="preserve"> (feet)</w:t>
            </w:r>
          </w:p>
        </w:tc>
        <w:tc>
          <w:tcPr>
            <w:tcW w:w="1623" w:type="dxa"/>
            <w:shd w:val="clear" w:color="auto" w:fill="00B5E2" w:themeFill="accent1"/>
            <w:vAlign w:val="center"/>
          </w:tcPr>
          <w:p w14:paraId="6BE4F22B" w14:textId="3E5002BD" w:rsidR="009B7FC2" w:rsidRPr="005B4FBF" w:rsidRDefault="00B549EC" w:rsidP="00574955">
            <w:pPr>
              <w:tabs>
                <w:tab w:val="clear" w:pos="284"/>
              </w:tabs>
              <w:spacing w:after="60" w:line="240" w:lineRule="auto"/>
              <w:rPr>
                <w:rFonts w:eastAsia="Times New Roman" w:cs="Times New Roman"/>
                <w:color w:val="FFFFFF" w:themeColor="background2"/>
                <w:kern w:val="0"/>
                <w:szCs w:val="24"/>
              </w:rPr>
            </w:pPr>
            <w:r>
              <w:rPr>
                <w:rFonts w:eastAsia="Times New Roman" w:cs="Times New Roman"/>
                <w:color w:val="FFFFFF" w:themeColor="background2"/>
                <w:kern w:val="0"/>
                <w:szCs w:val="24"/>
              </w:rPr>
              <w:t xml:space="preserve">Gage </w:t>
            </w:r>
            <w:r w:rsidR="00DB51AA">
              <w:rPr>
                <w:rFonts w:eastAsia="Times New Roman" w:cs="Times New Roman"/>
                <w:color w:val="FFFFFF" w:themeColor="background2"/>
                <w:kern w:val="0"/>
                <w:szCs w:val="24"/>
              </w:rPr>
              <w:t xml:space="preserve">WSEL </w:t>
            </w:r>
            <w:r w:rsidR="00DB51AA">
              <w:rPr>
                <w:rFonts w:eastAsia="Times New Roman" w:cs="Times New Roman"/>
                <w:color w:val="FFFFFF" w:themeColor="background2"/>
                <w:kern w:val="0"/>
                <w:szCs w:val="24"/>
              </w:rPr>
              <w:br/>
              <w:t>1-percent (feet)</w:t>
            </w:r>
          </w:p>
        </w:tc>
        <w:tc>
          <w:tcPr>
            <w:tcW w:w="1437" w:type="dxa"/>
            <w:shd w:val="clear" w:color="auto" w:fill="00B5E2" w:themeFill="accent1"/>
            <w:vAlign w:val="center"/>
          </w:tcPr>
          <w:p w14:paraId="492B5B73" w14:textId="1E85F4BD" w:rsidR="009B7FC2" w:rsidRPr="005B4FBF" w:rsidRDefault="009B7FC2" w:rsidP="00574955">
            <w:pPr>
              <w:tabs>
                <w:tab w:val="clear" w:pos="284"/>
              </w:tabs>
              <w:spacing w:after="60" w:line="240" w:lineRule="auto"/>
              <w:rPr>
                <w:rFonts w:eastAsia="Times New Roman" w:cs="Times New Roman"/>
                <w:color w:val="FFFFFF" w:themeColor="background2"/>
                <w:kern w:val="0"/>
                <w:szCs w:val="24"/>
              </w:rPr>
            </w:pPr>
            <w:r w:rsidRPr="005B4FBF">
              <w:rPr>
                <w:rFonts w:eastAsia="Times New Roman" w:cs="Times New Roman"/>
                <w:color w:val="FFFFFF" w:themeColor="background2"/>
                <w:kern w:val="0"/>
                <w:szCs w:val="24"/>
              </w:rPr>
              <w:t>Upper Bound</w:t>
            </w:r>
            <w:r w:rsidR="00DB51AA">
              <w:rPr>
                <w:rFonts w:eastAsia="Times New Roman" w:cs="Times New Roman"/>
                <w:color w:val="FFFFFF" w:themeColor="background2"/>
                <w:kern w:val="0"/>
                <w:szCs w:val="24"/>
              </w:rPr>
              <w:t xml:space="preserve"> (feet)</w:t>
            </w:r>
          </w:p>
        </w:tc>
        <w:tc>
          <w:tcPr>
            <w:tcW w:w="1533" w:type="dxa"/>
            <w:shd w:val="clear" w:color="auto" w:fill="00B5E2" w:themeFill="accent1"/>
          </w:tcPr>
          <w:p w14:paraId="1F601FF9" w14:textId="7194FDCF" w:rsidR="009B7FC2" w:rsidRPr="005B4FBF" w:rsidRDefault="009B7FC2" w:rsidP="00574955">
            <w:pPr>
              <w:tabs>
                <w:tab w:val="clear" w:pos="284"/>
              </w:tabs>
              <w:spacing w:after="60" w:line="240" w:lineRule="auto"/>
              <w:rPr>
                <w:rFonts w:eastAsia="Times New Roman" w:cs="Times New Roman"/>
                <w:color w:val="FFFFFF" w:themeColor="background2"/>
                <w:kern w:val="0"/>
                <w:szCs w:val="24"/>
              </w:rPr>
            </w:pPr>
            <w:r w:rsidRPr="005B4FBF">
              <w:rPr>
                <w:rFonts w:eastAsia="Times New Roman" w:cs="Times New Roman"/>
                <w:color w:val="FFFFFF" w:themeColor="background2"/>
                <w:kern w:val="0"/>
                <w:szCs w:val="24"/>
              </w:rPr>
              <w:t xml:space="preserve">HEC-RAS </w:t>
            </w:r>
            <w:r w:rsidR="00B621D8">
              <w:rPr>
                <w:rFonts w:eastAsia="Times New Roman" w:cs="Times New Roman"/>
                <w:color w:val="FFFFFF" w:themeColor="background2"/>
                <w:kern w:val="0"/>
                <w:szCs w:val="24"/>
              </w:rPr>
              <w:t>6.1</w:t>
            </w:r>
            <w:r w:rsidRPr="005B4FBF">
              <w:rPr>
                <w:rFonts w:eastAsia="Times New Roman" w:cs="Times New Roman"/>
                <w:color w:val="FFFFFF" w:themeColor="background2"/>
                <w:kern w:val="0"/>
                <w:szCs w:val="24"/>
              </w:rPr>
              <w:t xml:space="preserve"> WSEL</w:t>
            </w:r>
            <w:r w:rsidR="00DB51AA">
              <w:rPr>
                <w:rFonts w:eastAsia="Times New Roman" w:cs="Times New Roman"/>
                <w:color w:val="FFFFFF" w:themeColor="background2"/>
                <w:kern w:val="0"/>
                <w:szCs w:val="24"/>
              </w:rPr>
              <w:t xml:space="preserve"> (feet)</w:t>
            </w:r>
          </w:p>
        </w:tc>
      </w:tr>
      <w:tr w:rsidR="009B7FC2" w:rsidRPr="009B7FC2" w14:paraId="07540F37" w14:textId="77777777" w:rsidTr="00DB51AA">
        <w:trPr>
          <w:cnfStyle w:val="000000100000" w:firstRow="0" w:lastRow="0" w:firstColumn="0" w:lastColumn="0" w:oddVBand="0" w:evenVBand="0" w:oddHBand="1" w:evenHBand="0" w:firstRowFirstColumn="0" w:firstRowLastColumn="0" w:lastRowFirstColumn="0" w:lastRowLastColumn="0"/>
          <w:trHeight w:val="288"/>
          <w:jc w:val="center"/>
        </w:trPr>
        <w:tc>
          <w:tcPr>
            <w:tcW w:w="1984" w:type="dxa"/>
            <w:shd w:val="clear" w:color="auto" w:fill="FFFFFF" w:themeFill="background1"/>
          </w:tcPr>
          <w:p w14:paraId="262E4DB6" w14:textId="2BB475FE" w:rsidR="009B7FC2" w:rsidRPr="005B4FBF" w:rsidRDefault="005B4FBF" w:rsidP="00212930">
            <w:pPr>
              <w:tabs>
                <w:tab w:val="clear" w:pos="284"/>
              </w:tabs>
              <w:spacing w:before="20" w:after="20" w:line="240" w:lineRule="auto"/>
              <w:jc w:val="center"/>
              <w:rPr>
                <w:rFonts w:ascii="Calibri" w:eastAsia="Times New Roman" w:hAnsi="Calibri" w:cs="Times New Roman"/>
                <w:kern w:val="0"/>
                <w:szCs w:val="24"/>
              </w:rPr>
            </w:pPr>
            <w:r w:rsidRPr="005B4FBF">
              <w:rPr>
                <w:rFonts w:ascii="Calibri" w:hAnsi="Calibri"/>
                <w:szCs w:val="20"/>
              </w:rPr>
              <w:t>081</w:t>
            </w:r>
            <w:r w:rsidR="00212930">
              <w:rPr>
                <w:rFonts w:ascii="Calibri" w:hAnsi="Calibri"/>
                <w:szCs w:val="20"/>
              </w:rPr>
              <w:t>01000</w:t>
            </w:r>
          </w:p>
        </w:tc>
        <w:tc>
          <w:tcPr>
            <w:tcW w:w="1257" w:type="dxa"/>
            <w:shd w:val="clear" w:color="auto" w:fill="FFFFFF" w:themeFill="background1"/>
            <w:vAlign w:val="center"/>
          </w:tcPr>
          <w:p w14:paraId="5967F61D" w14:textId="63B4C916" w:rsidR="009B7FC2" w:rsidRPr="005B4FBF" w:rsidRDefault="00212930" w:rsidP="007E1F1A">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778.</w:t>
            </w:r>
            <w:r w:rsidR="007E1F1A">
              <w:rPr>
                <w:rFonts w:ascii="Calibri" w:eastAsia="Times New Roman" w:hAnsi="Calibri" w:cs="Times New Roman"/>
                <w:kern w:val="0"/>
                <w:szCs w:val="24"/>
              </w:rPr>
              <w:t>4</w:t>
            </w:r>
          </w:p>
        </w:tc>
        <w:tc>
          <w:tcPr>
            <w:tcW w:w="1708" w:type="dxa"/>
            <w:gridSpan w:val="2"/>
            <w:shd w:val="clear" w:color="auto" w:fill="FFFFFF" w:themeFill="background1"/>
            <w:vAlign w:val="center"/>
          </w:tcPr>
          <w:p w14:paraId="04599CD1" w14:textId="524DAF12" w:rsidR="009B7FC2" w:rsidRPr="005B4FBF" w:rsidRDefault="00212930" w:rsidP="007E1F1A">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780.</w:t>
            </w:r>
            <w:r w:rsidR="007E1F1A">
              <w:rPr>
                <w:rFonts w:ascii="Calibri" w:eastAsia="Times New Roman" w:hAnsi="Calibri" w:cs="Times New Roman"/>
                <w:kern w:val="0"/>
                <w:szCs w:val="24"/>
              </w:rPr>
              <w:t>3</w:t>
            </w:r>
          </w:p>
        </w:tc>
        <w:tc>
          <w:tcPr>
            <w:tcW w:w="1437" w:type="dxa"/>
            <w:shd w:val="clear" w:color="auto" w:fill="FFFFFF" w:themeFill="background1"/>
            <w:vAlign w:val="center"/>
          </w:tcPr>
          <w:p w14:paraId="7CE1AF13" w14:textId="4A80C97A" w:rsidR="009B7FC2" w:rsidRPr="005B4FBF" w:rsidRDefault="00212930" w:rsidP="007E1F1A">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783.8</w:t>
            </w:r>
          </w:p>
        </w:tc>
        <w:tc>
          <w:tcPr>
            <w:tcW w:w="1533" w:type="dxa"/>
            <w:shd w:val="clear" w:color="auto" w:fill="FFFFFF" w:themeFill="background1"/>
          </w:tcPr>
          <w:p w14:paraId="79067219" w14:textId="1F082089" w:rsidR="009B7FC2" w:rsidRPr="005B4FBF" w:rsidRDefault="00212930" w:rsidP="007E1F1A">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778.2</w:t>
            </w:r>
          </w:p>
        </w:tc>
      </w:tr>
    </w:tbl>
    <w:p w14:paraId="377BBE32" w14:textId="77777777" w:rsidR="00AB4F1A" w:rsidRDefault="00AB4F1A" w:rsidP="009B7FC2">
      <w:pPr>
        <w:pStyle w:val="BodyText"/>
      </w:pPr>
    </w:p>
    <w:p w14:paraId="26A5161B" w14:textId="77862C4D" w:rsidR="00AD6178" w:rsidRDefault="00AD6178" w:rsidP="00AD6178">
      <w:pPr>
        <w:pStyle w:val="Heading2"/>
      </w:pPr>
      <w:bookmarkStart w:id="85" w:name="_Toc112244136"/>
      <w:r>
        <w:t>Challenges</w:t>
      </w:r>
      <w:bookmarkEnd w:id="85"/>
      <w:r>
        <w:t xml:space="preserve"> </w:t>
      </w:r>
    </w:p>
    <w:p w14:paraId="46E3BC61" w14:textId="4AE9ACD4" w:rsidR="00D76176" w:rsidRDefault="00D76176" w:rsidP="001D03B0">
      <w:pPr>
        <w:pStyle w:val="BodyText"/>
      </w:pPr>
      <w:r w:rsidRPr="005D5C8F">
        <w:t xml:space="preserve">Within the watershed, there are several populated areas and agricultural fields that appear to be trapping water which prevents runoff from reaching the channel in the model.Various v-notches were applied to represent cross culverts and improve conveyance. </w:t>
      </w:r>
      <w:r w:rsidR="00B621D8" w:rsidRPr="00B621D8">
        <w:rPr>
          <w:color w:val="000000" w:themeColor="text1"/>
        </w:rPr>
        <w:t>Further detail and study of the flow patterns and likely runoff conveyance would be recommended as part of a future study if more detailed flood risk information was needed in these areas. In addition</w:t>
      </w:r>
      <w:r w:rsidR="00C974D3">
        <w:t xml:space="preserve">, </w:t>
      </w:r>
      <w:r w:rsidR="00B621D8">
        <w:t>s</w:t>
      </w:r>
      <w:r w:rsidRPr="005D5C8F">
        <w:t>everal breaklines and refinement regions increased the total number of cells and thereby increasing the model runtime.</w:t>
      </w:r>
      <w:r w:rsidR="0095040D">
        <w:t xml:space="preserve"> </w:t>
      </w:r>
    </w:p>
    <w:p w14:paraId="382C9E48" w14:textId="6AB8E73A" w:rsidR="007E1F1A" w:rsidRDefault="00B621D8" w:rsidP="001D03B0">
      <w:pPr>
        <w:pStyle w:val="BodyText"/>
      </w:pPr>
      <w:r>
        <w:t>The WSEL at th USGS stream gage used for calibration in this model was slightly lower than the calculated range. Additional model detail</w:t>
      </w:r>
      <w:r w:rsidR="00232CA6">
        <w:t>,</w:t>
      </w:r>
      <w:r>
        <w:t xml:space="preserve"> such as adjusting the n-valus in the model in the areas US and DS of </w:t>
      </w:r>
      <w:r w:rsidR="00232CA6">
        <w:t>the gage with override regions, could improve our model results relative to the gage, but do to study limitations for approximate BLE this was not done.</w:t>
      </w:r>
      <w:r w:rsidR="007E1F1A">
        <w:br w:type="page"/>
      </w:r>
    </w:p>
    <w:p w14:paraId="58A56F8F" w14:textId="77777777" w:rsidR="00D76176" w:rsidRDefault="00AD6178" w:rsidP="00AD6178">
      <w:pPr>
        <w:pStyle w:val="Heading2"/>
      </w:pPr>
      <w:bookmarkStart w:id="86" w:name="_Toc112244137"/>
      <w:r>
        <w:lastRenderedPageBreak/>
        <w:t>Recommendations</w:t>
      </w:r>
      <w:bookmarkEnd w:id="86"/>
    </w:p>
    <w:p w14:paraId="515C757B" w14:textId="77777777" w:rsidR="00D76176" w:rsidRDefault="00D76176" w:rsidP="00D76176">
      <w:pPr>
        <w:pStyle w:val="BodyText"/>
      </w:pPr>
      <w:bookmarkStart w:id="87" w:name="_Hlk12020115"/>
      <w:r w:rsidRPr="00D76176">
        <w:t>This study provides significant information useful for flood identification and communication among those affected.  The study is highly scalable, and stakeholder input and further analysis would enhance the product and inform implementation of regulatory flood hazard areas.  In addition, the validity of the 2D BLE results should be verified through community work map meetings before being applied as a regulatory product.</w:t>
      </w:r>
      <w:bookmarkStart w:id="88" w:name="_Toc456175435"/>
      <w:bookmarkStart w:id="89" w:name="_Toc456176054"/>
      <w:bookmarkStart w:id="90" w:name="_Toc455987085"/>
      <w:bookmarkStart w:id="91" w:name="_Toc455992949"/>
      <w:bookmarkStart w:id="92" w:name="_Toc455994051"/>
      <w:bookmarkStart w:id="93" w:name="_Toc456005458"/>
      <w:bookmarkStart w:id="94" w:name="_Toc456175436"/>
      <w:bookmarkStart w:id="95" w:name="_Toc456176055"/>
      <w:bookmarkStart w:id="96" w:name="_Toc455987086"/>
      <w:bookmarkStart w:id="97" w:name="_Toc455992950"/>
      <w:bookmarkStart w:id="98" w:name="_Toc455994052"/>
      <w:bookmarkStart w:id="99" w:name="_Toc456005459"/>
      <w:bookmarkStart w:id="100" w:name="_Toc456175437"/>
      <w:bookmarkStart w:id="101" w:name="_Toc456176056"/>
      <w:bookmarkStart w:id="102" w:name="_Toc455987087"/>
      <w:bookmarkStart w:id="103" w:name="_Toc455992951"/>
      <w:bookmarkStart w:id="104" w:name="_Toc455994053"/>
      <w:bookmarkStart w:id="105" w:name="_Toc456005460"/>
      <w:bookmarkStart w:id="106" w:name="_Toc456175438"/>
      <w:bookmarkStart w:id="107" w:name="_Toc456176057"/>
      <w:bookmarkStart w:id="108" w:name="_Toc455987088"/>
      <w:bookmarkStart w:id="109" w:name="_Toc455992952"/>
      <w:bookmarkStart w:id="110" w:name="_Toc455994054"/>
      <w:bookmarkStart w:id="111" w:name="_Toc456005461"/>
      <w:bookmarkStart w:id="112" w:name="_Toc456175439"/>
      <w:bookmarkStart w:id="113" w:name="_Toc456176058"/>
      <w:bookmarkStart w:id="114" w:name="_Toc455987089"/>
      <w:bookmarkStart w:id="115" w:name="_Toc455992953"/>
      <w:bookmarkStart w:id="116" w:name="_Toc455994055"/>
      <w:bookmarkStart w:id="117" w:name="_Toc456005462"/>
      <w:bookmarkStart w:id="118" w:name="_Toc456175440"/>
      <w:bookmarkStart w:id="119" w:name="_Toc456176059"/>
      <w:bookmarkStart w:id="120" w:name="_Toc455987090"/>
      <w:bookmarkStart w:id="121" w:name="_Toc455992954"/>
      <w:bookmarkStart w:id="122" w:name="_Toc455994056"/>
      <w:bookmarkStart w:id="123" w:name="_Toc456005463"/>
      <w:bookmarkStart w:id="124" w:name="_Toc456175441"/>
      <w:bookmarkStart w:id="125" w:name="_Toc456176060"/>
      <w:bookmarkStart w:id="126" w:name="_Toc455987091"/>
      <w:bookmarkStart w:id="127" w:name="_Toc455992955"/>
      <w:bookmarkStart w:id="128" w:name="_Toc455994057"/>
      <w:bookmarkStart w:id="129" w:name="_Toc456005464"/>
      <w:bookmarkStart w:id="130" w:name="_Toc456175442"/>
      <w:bookmarkStart w:id="131" w:name="_Toc456176061"/>
      <w:bookmarkStart w:id="132" w:name="_Toc455987092"/>
      <w:bookmarkStart w:id="133" w:name="_Toc455992956"/>
      <w:bookmarkStart w:id="134" w:name="_Toc455994058"/>
      <w:bookmarkStart w:id="135" w:name="_Toc456005465"/>
      <w:bookmarkStart w:id="136" w:name="_Toc456175443"/>
      <w:bookmarkStart w:id="137" w:name="_Toc456176062"/>
      <w:bookmarkStart w:id="138" w:name="_Toc455987093"/>
      <w:bookmarkStart w:id="139" w:name="_Toc455992957"/>
      <w:bookmarkStart w:id="140" w:name="_Toc455994059"/>
      <w:bookmarkStart w:id="141" w:name="_Toc456005466"/>
      <w:bookmarkStart w:id="142" w:name="_Toc456175444"/>
      <w:bookmarkStart w:id="143" w:name="_Toc456176063"/>
      <w:bookmarkStart w:id="144" w:name="_Toc455987094"/>
      <w:bookmarkStart w:id="145" w:name="_Toc455992958"/>
      <w:bookmarkStart w:id="146" w:name="_Toc455994060"/>
      <w:bookmarkStart w:id="147" w:name="_Toc456005467"/>
      <w:bookmarkStart w:id="148" w:name="_Toc456175445"/>
      <w:bookmarkStart w:id="149" w:name="_Toc456176064"/>
      <w:bookmarkStart w:id="150" w:name="_Toc455987095"/>
      <w:bookmarkStart w:id="151" w:name="_Toc455992959"/>
      <w:bookmarkStart w:id="152" w:name="_Toc455994061"/>
      <w:bookmarkStart w:id="153" w:name="_Toc456005468"/>
      <w:bookmarkStart w:id="154" w:name="_Toc456175446"/>
      <w:bookmarkStart w:id="155" w:name="_Toc456176065"/>
      <w:bookmarkStart w:id="156" w:name="_Toc455987096"/>
      <w:bookmarkStart w:id="157" w:name="_Toc455992960"/>
      <w:bookmarkStart w:id="158" w:name="_Toc455994062"/>
      <w:bookmarkStart w:id="159" w:name="_Toc456005469"/>
      <w:bookmarkStart w:id="160" w:name="_Toc456175447"/>
      <w:bookmarkStart w:id="161" w:name="_Toc456176066"/>
      <w:bookmarkStart w:id="162" w:name="_Toc455987097"/>
      <w:bookmarkStart w:id="163" w:name="_Toc455992961"/>
      <w:bookmarkStart w:id="164" w:name="_Toc455994063"/>
      <w:bookmarkStart w:id="165" w:name="_Toc456005470"/>
      <w:bookmarkStart w:id="166" w:name="_Toc456175448"/>
      <w:bookmarkStart w:id="167" w:name="_Toc456176067"/>
      <w:bookmarkStart w:id="168" w:name="_Toc455987098"/>
      <w:bookmarkStart w:id="169" w:name="_Toc455992962"/>
      <w:bookmarkStart w:id="170" w:name="_Toc455994064"/>
      <w:bookmarkStart w:id="171" w:name="_Toc456005471"/>
      <w:bookmarkStart w:id="172" w:name="_Toc456175449"/>
      <w:bookmarkStart w:id="173" w:name="_Toc456176068"/>
      <w:bookmarkStart w:id="174" w:name="_Toc455987099"/>
      <w:bookmarkStart w:id="175" w:name="_Toc455992963"/>
      <w:bookmarkStart w:id="176" w:name="_Toc455994065"/>
      <w:bookmarkStart w:id="177" w:name="_Toc456005472"/>
      <w:bookmarkStart w:id="178" w:name="_Toc456175450"/>
      <w:bookmarkStart w:id="179" w:name="_Toc456176069"/>
      <w:bookmarkStart w:id="180" w:name="_Toc455987100"/>
      <w:bookmarkStart w:id="181" w:name="_Toc455992964"/>
      <w:bookmarkStart w:id="182" w:name="_Toc455994066"/>
      <w:bookmarkStart w:id="183" w:name="_Toc456005473"/>
      <w:bookmarkStart w:id="184" w:name="_Toc456175451"/>
      <w:bookmarkStart w:id="185" w:name="_Toc456176070"/>
      <w:bookmarkStart w:id="186" w:name="_Toc455987101"/>
      <w:bookmarkStart w:id="187" w:name="_Toc455992965"/>
      <w:bookmarkStart w:id="188" w:name="_Toc455994067"/>
      <w:bookmarkStart w:id="189" w:name="_Toc456005474"/>
      <w:bookmarkStart w:id="190" w:name="_Toc456175452"/>
      <w:bookmarkStart w:id="191" w:name="_Toc456176071"/>
      <w:bookmarkStart w:id="192" w:name="_Toc455987102"/>
      <w:bookmarkStart w:id="193" w:name="_Toc455992966"/>
      <w:bookmarkStart w:id="194" w:name="_Toc455994068"/>
      <w:bookmarkStart w:id="195" w:name="_Toc456005475"/>
      <w:bookmarkStart w:id="196" w:name="_Toc456175453"/>
      <w:bookmarkStart w:id="197" w:name="_Toc456176072"/>
      <w:bookmarkStart w:id="198" w:name="_Toc455987103"/>
      <w:bookmarkStart w:id="199" w:name="_Toc455992967"/>
      <w:bookmarkStart w:id="200" w:name="_Toc455994069"/>
      <w:bookmarkStart w:id="201" w:name="_Toc456005476"/>
      <w:bookmarkStart w:id="202" w:name="_Toc456175454"/>
      <w:bookmarkStart w:id="203" w:name="_Toc456176073"/>
      <w:bookmarkStart w:id="204" w:name="_Toc455987104"/>
      <w:bookmarkStart w:id="205" w:name="_Toc455992968"/>
      <w:bookmarkStart w:id="206" w:name="_Toc455994070"/>
      <w:bookmarkStart w:id="207" w:name="_Toc456005477"/>
      <w:bookmarkStart w:id="208" w:name="_Toc456175455"/>
      <w:bookmarkStart w:id="209" w:name="_Toc456176074"/>
      <w:bookmarkStart w:id="210" w:name="_Toc455987105"/>
      <w:bookmarkStart w:id="211" w:name="_Toc455992969"/>
      <w:bookmarkStart w:id="212" w:name="_Toc455994071"/>
      <w:bookmarkStart w:id="213" w:name="_Toc456005478"/>
      <w:bookmarkStart w:id="214" w:name="_Toc456175456"/>
      <w:bookmarkStart w:id="215" w:name="_Toc456176075"/>
      <w:bookmarkStart w:id="216" w:name="_Toc455987106"/>
      <w:bookmarkStart w:id="217" w:name="_Toc455992970"/>
      <w:bookmarkStart w:id="218" w:name="_Toc455994072"/>
      <w:bookmarkStart w:id="219" w:name="_Toc456005479"/>
      <w:bookmarkStart w:id="220" w:name="_Toc456175457"/>
      <w:bookmarkStart w:id="221" w:name="_Toc456176076"/>
      <w:bookmarkStart w:id="222" w:name="_Toc455987107"/>
      <w:bookmarkStart w:id="223" w:name="_Toc455992971"/>
      <w:bookmarkStart w:id="224" w:name="_Toc455994073"/>
      <w:bookmarkStart w:id="225" w:name="_Toc456005480"/>
      <w:bookmarkStart w:id="226" w:name="_Toc456175458"/>
      <w:bookmarkStart w:id="227" w:name="_Toc456176077"/>
      <w:bookmarkStart w:id="228" w:name="_Toc455987108"/>
      <w:bookmarkStart w:id="229" w:name="_Toc455992972"/>
      <w:bookmarkStart w:id="230" w:name="_Toc455994074"/>
      <w:bookmarkStart w:id="231" w:name="_Toc456005481"/>
      <w:bookmarkStart w:id="232" w:name="_Toc456175459"/>
      <w:bookmarkStart w:id="233" w:name="_Toc456176078"/>
      <w:bookmarkStart w:id="234" w:name="_Toc455987109"/>
      <w:bookmarkStart w:id="235" w:name="_Toc455992973"/>
      <w:bookmarkStart w:id="236" w:name="_Toc455994075"/>
      <w:bookmarkStart w:id="237" w:name="_Toc456005482"/>
      <w:bookmarkStart w:id="238" w:name="_Toc456175460"/>
      <w:bookmarkStart w:id="239" w:name="_Toc456176079"/>
      <w:bookmarkStart w:id="240" w:name="_Toc455987110"/>
      <w:bookmarkStart w:id="241" w:name="_Toc455992974"/>
      <w:bookmarkStart w:id="242" w:name="_Toc455994076"/>
      <w:bookmarkStart w:id="243" w:name="_Toc456005483"/>
      <w:bookmarkStart w:id="244" w:name="_Toc456175461"/>
      <w:bookmarkStart w:id="245" w:name="_Toc456176080"/>
      <w:bookmarkStart w:id="246" w:name="_Toc455987111"/>
      <w:bookmarkStart w:id="247" w:name="_Toc455992975"/>
      <w:bookmarkStart w:id="248" w:name="_Toc455994077"/>
      <w:bookmarkStart w:id="249" w:name="_Toc456005484"/>
      <w:bookmarkStart w:id="250" w:name="_Toc456175462"/>
      <w:bookmarkStart w:id="251" w:name="_Toc456176081"/>
      <w:bookmarkStart w:id="252" w:name="_Toc455987112"/>
      <w:bookmarkStart w:id="253" w:name="_Toc455992976"/>
      <w:bookmarkStart w:id="254" w:name="_Toc455994078"/>
      <w:bookmarkStart w:id="255" w:name="_Toc456005485"/>
      <w:bookmarkStart w:id="256" w:name="_Toc456175463"/>
      <w:bookmarkStart w:id="257" w:name="_Toc456176082"/>
      <w:bookmarkStart w:id="258" w:name="_Toc455987113"/>
      <w:bookmarkStart w:id="259" w:name="_Toc455992977"/>
      <w:bookmarkStart w:id="260" w:name="_Toc455994079"/>
      <w:bookmarkStart w:id="261" w:name="_Toc456005486"/>
      <w:bookmarkStart w:id="262" w:name="_Toc456175464"/>
      <w:bookmarkStart w:id="263" w:name="_Toc456176083"/>
      <w:bookmarkStart w:id="264" w:name="_Toc455987114"/>
      <w:bookmarkStart w:id="265" w:name="_Toc455992978"/>
      <w:bookmarkStart w:id="266" w:name="_Toc455994080"/>
      <w:bookmarkStart w:id="267" w:name="_Toc456005487"/>
      <w:bookmarkStart w:id="268" w:name="_Toc456175465"/>
      <w:bookmarkStart w:id="269" w:name="_Toc456176084"/>
      <w:bookmarkStart w:id="270" w:name="_Toc455987115"/>
      <w:bookmarkStart w:id="271" w:name="_Toc455992979"/>
      <w:bookmarkStart w:id="272" w:name="_Toc455994081"/>
      <w:bookmarkStart w:id="273" w:name="_Toc456005488"/>
      <w:bookmarkStart w:id="274" w:name="_Toc456175466"/>
      <w:bookmarkStart w:id="275" w:name="_Toc456176085"/>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p>
    <w:p w14:paraId="6A3C180D" w14:textId="3076A23C" w:rsidR="00DB51AA" w:rsidRPr="00DB51AA" w:rsidRDefault="00DB51AA" w:rsidP="00DB51AA">
      <w:pPr>
        <w:pStyle w:val="BodyText"/>
      </w:pPr>
      <w:bookmarkStart w:id="276" w:name="_Toc29880995"/>
      <w:bookmarkEnd w:id="87"/>
      <w:r w:rsidRPr="00DB51AA">
        <w:t xml:space="preserve">Point source Atlas 14 rainfall was used in the analysis, and due to the large size of the modeled area (the entire HUC-8 watershed), the point rainfall used has a tendency to vary more widely from the actual point rainfall data at any specific location within the watershed. For detailed modeling and further improvements, smaller-sized modeled areas are recommended, which will result in smaller rainfall and </w:t>
      </w:r>
      <w:r w:rsidR="002D637E">
        <w:t>CN</w:t>
      </w:r>
      <w:r w:rsidRPr="00DB51AA">
        <w:t xml:space="preserve"> variability. In addition, future versions of HEC-RAS are anticipated to include the capability to utilize spatially varying rainfall, which may result in additional improvements</w:t>
      </w:r>
      <w:r w:rsidR="00232CA6">
        <w:t xml:space="preserve"> in the reasonability in some of these aspects</w:t>
      </w:r>
      <w:r w:rsidRPr="00DB51AA">
        <w:t xml:space="preserve">. The hydraulic model can further be </w:t>
      </w:r>
      <w:r w:rsidR="00232CA6">
        <w:t xml:space="preserve">refined </w:t>
      </w:r>
      <w:r w:rsidRPr="00DB51AA">
        <w:t>by using a smaller cell size than 200 f</w:t>
      </w:r>
      <w:r w:rsidR="005C72F6">
        <w:t>oot</w:t>
      </w:r>
      <w:r w:rsidRPr="00DB51AA">
        <w:t xml:space="preserve"> along with adding </w:t>
      </w:r>
      <w:r w:rsidR="00232CA6">
        <w:t xml:space="preserve">detailed </w:t>
      </w:r>
      <w:r w:rsidRPr="00DB51AA">
        <w:t xml:space="preserve">structural and survey data for each crossing. </w:t>
      </w:r>
    </w:p>
    <w:p w14:paraId="209BC616" w14:textId="60899F4E" w:rsidR="00BA7A78" w:rsidRPr="00E209B0" w:rsidRDefault="00BA7A78" w:rsidP="00CA2219">
      <w:pPr>
        <w:pStyle w:val="Heading1"/>
        <w:numPr>
          <w:ilvl w:val="0"/>
          <w:numId w:val="21"/>
        </w:numPr>
      </w:pPr>
      <w:bookmarkStart w:id="277" w:name="_Toc112244138"/>
      <w:r w:rsidRPr="00E209B0">
        <w:t>Floodplain Mapping</w:t>
      </w:r>
      <w:bookmarkEnd w:id="276"/>
      <w:r w:rsidR="00E209B0" w:rsidRPr="00E209B0">
        <w:t xml:space="preserve"> and Effective Zone A Validation</w:t>
      </w:r>
      <w:bookmarkEnd w:id="277"/>
    </w:p>
    <w:p w14:paraId="5EEB54C6" w14:textId="7242B7F6" w:rsidR="00E209B0" w:rsidRDefault="00BA7A78" w:rsidP="00BA7A78">
      <w:pPr>
        <w:pStyle w:val="BodyText"/>
      </w:pPr>
      <w:r>
        <w:t>The</w:t>
      </w:r>
      <w:r>
        <w:rPr>
          <w:spacing w:val="1"/>
        </w:rPr>
        <w:t xml:space="preserve"> </w:t>
      </w:r>
      <w:r>
        <w:rPr>
          <w:spacing w:val="-3"/>
        </w:rPr>
        <w:t>f</w:t>
      </w:r>
      <w:r>
        <w:rPr>
          <w:spacing w:val="1"/>
        </w:rPr>
        <w:t>o</w:t>
      </w:r>
      <w:r>
        <w:t>ll</w:t>
      </w:r>
      <w:r>
        <w:rPr>
          <w:spacing w:val="-2"/>
        </w:rPr>
        <w:t>o</w:t>
      </w:r>
      <w:r>
        <w:t>wing se</w:t>
      </w:r>
      <w:r>
        <w:rPr>
          <w:spacing w:val="-3"/>
        </w:rPr>
        <w:t>c</w:t>
      </w:r>
      <w:r>
        <w:t>ti</w:t>
      </w:r>
      <w:r>
        <w:rPr>
          <w:spacing w:val="1"/>
        </w:rPr>
        <w:t>o</w:t>
      </w:r>
      <w:r>
        <w:t>ns p</w:t>
      </w:r>
      <w:r>
        <w:rPr>
          <w:spacing w:val="-3"/>
        </w:rPr>
        <w:t>r</w:t>
      </w:r>
      <w:r>
        <w:rPr>
          <w:spacing w:val="-2"/>
        </w:rPr>
        <w:t>ov</w:t>
      </w:r>
      <w:r>
        <w:t>ide</w:t>
      </w:r>
      <w:r>
        <w:rPr>
          <w:spacing w:val="1"/>
        </w:rPr>
        <w:t xml:space="preserve"> </w:t>
      </w:r>
      <w:r>
        <w:t>a sy</w:t>
      </w:r>
      <w:r>
        <w:rPr>
          <w:spacing w:val="-4"/>
        </w:rPr>
        <w:t>n</w:t>
      </w:r>
      <w:r>
        <w:rPr>
          <w:spacing w:val="1"/>
        </w:rPr>
        <w:t>o</w:t>
      </w:r>
      <w:r>
        <w:t>psis</w:t>
      </w:r>
      <w:r>
        <w:rPr>
          <w:spacing w:val="-2"/>
        </w:rPr>
        <w:t xml:space="preserve"> </w:t>
      </w:r>
      <w:r>
        <w:rPr>
          <w:spacing w:val="1"/>
        </w:rPr>
        <w:t>o</w:t>
      </w:r>
      <w:r>
        <w:t xml:space="preserve">f </w:t>
      </w:r>
      <w:r>
        <w:rPr>
          <w:spacing w:val="-4"/>
        </w:rPr>
        <w:t>h</w:t>
      </w:r>
      <w:r>
        <w:rPr>
          <w:spacing w:val="1"/>
        </w:rPr>
        <w:t>o</w:t>
      </w:r>
      <w:r>
        <w:t>w</w:t>
      </w:r>
      <w:r>
        <w:rPr>
          <w:spacing w:val="-2"/>
        </w:rPr>
        <w:t xml:space="preserve"> </w:t>
      </w:r>
      <w:r>
        <w:t>raw</w:t>
      </w:r>
      <w:r>
        <w:rPr>
          <w:spacing w:val="-2"/>
        </w:rPr>
        <w:t xml:space="preserve"> </w:t>
      </w:r>
      <w:r>
        <w:rPr>
          <w:spacing w:val="1"/>
        </w:rPr>
        <w:t>mo</w:t>
      </w:r>
      <w:r>
        <w:rPr>
          <w:spacing w:val="-4"/>
        </w:rPr>
        <w:t>d</w:t>
      </w:r>
      <w:r>
        <w:t>eled depths</w:t>
      </w:r>
      <w:r>
        <w:rPr>
          <w:spacing w:val="-2"/>
        </w:rPr>
        <w:t xml:space="preserve"> w</w:t>
      </w:r>
      <w:r>
        <w:t>ere</w:t>
      </w:r>
      <w:r>
        <w:rPr>
          <w:spacing w:val="-2"/>
        </w:rPr>
        <w:t xml:space="preserve"> </w:t>
      </w:r>
      <w:r>
        <w:t>tra</w:t>
      </w:r>
      <w:r>
        <w:rPr>
          <w:spacing w:val="-4"/>
        </w:rPr>
        <w:t>n</w:t>
      </w:r>
      <w:r>
        <w:t>slated in</w:t>
      </w:r>
      <w:r>
        <w:rPr>
          <w:spacing w:val="-2"/>
        </w:rPr>
        <w:t>t</w:t>
      </w:r>
      <w:r>
        <w:t>o</w:t>
      </w:r>
      <w:r>
        <w:rPr>
          <w:spacing w:val="1"/>
        </w:rPr>
        <w:t xml:space="preserve"> </w:t>
      </w:r>
      <w:r>
        <w:t>SFHA.</w:t>
      </w:r>
      <w:r>
        <w:rPr>
          <w:spacing w:val="49"/>
        </w:rPr>
        <w:t xml:space="preserve"> </w:t>
      </w:r>
      <w:r>
        <w:t>In a</w:t>
      </w:r>
      <w:r>
        <w:rPr>
          <w:spacing w:val="-4"/>
        </w:rPr>
        <w:t>d</w:t>
      </w:r>
      <w:r>
        <w:t>diti</w:t>
      </w:r>
      <w:r>
        <w:rPr>
          <w:spacing w:val="1"/>
        </w:rPr>
        <w:t>o</w:t>
      </w:r>
      <w:r>
        <w:t xml:space="preserve">n </w:t>
      </w:r>
      <w:r>
        <w:rPr>
          <w:spacing w:val="-2"/>
        </w:rPr>
        <w:t>t</w:t>
      </w:r>
      <w:r>
        <w:t>o</w:t>
      </w:r>
      <w:r>
        <w:rPr>
          <w:spacing w:val="1"/>
        </w:rPr>
        <w:t xml:space="preserve"> </w:t>
      </w:r>
      <w:r>
        <w:t>d</w:t>
      </w:r>
      <w:r>
        <w:rPr>
          <w:spacing w:val="-2"/>
        </w:rPr>
        <w:t>e</w:t>
      </w:r>
      <w:r>
        <w:rPr>
          <w:spacing w:val="1"/>
        </w:rPr>
        <w:t>v</w:t>
      </w:r>
      <w:r>
        <w:t>e</w:t>
      </w:r>
      <w:r>
        <w:rPr>
          <w:spacing w:val="-3"/>
        </w:rPr>
        <w:t>l</w:t>
      </w:r>
      <w:r>
        <w:rPr>
          <w:spacing w:val="1"/>
        </w:rPr>
        <w:t>o</w:t>
      </w:r>
      <w:r>
        <w:t>ping a n</w:t>
      </w:r>
      <w:r>
        <w:rPr>
          <w:spacing w:val="-2"/>
        </w:rPr>
        <w:t>e</w:t>
      </w:r>
      <w:r>
        <w:t>w</w:t>
      </w:r>
      <w:r>
        <w:rPr>
          <w:spacing w:val="-2"/>
        </w:rPr>
        <w:t xml:space="preserve"> </w:t>
      </w:r>
      <w:r>
        <w:t>SFHA, the</w:t>
      </w:r>
      <w:r>
        <w:rPr>
          <w:spacing w:val="1"/>
        </w:rPr>
        <w:t xml:space="preserve"> </w:t>
      </w:r>
      <w:r>
        <w:t>BLE</w:t>
      </w:r>
      <w:r>
        <w:rPr>
          <w:spacing w:val="-2"/>
        </w:rPr>
        <w:t xml:space="preserve"> m</w:t>
      </w:r>
      <w:r>
        <w:rPr>
          <w:spacing w:val="1"/>
        </w:rPr>
        <w:t>o</w:t>
      </w:r>
      <w:r>
        <w:t>del d</w:t>
      </w:r>
      <w:r>
        <w:rPr>
          <w:spacing w:val="-3"/>
        </w:rPr>
        <w:t>a</w:t>
      </w:r>
      <w:r>
        <w:t>ta</w:t>
      </w:r>
      <w:r>
        <w:rPr>
          <w:spacing w:val="-2"/>
        </w:rPr>
        <w:t xml:space="preserve"> </w:t>
      </w:r>
      <w:r>
        <w:t xml:space="preserve">was </w:t>
      </w:r>
      <w:r>
        <w:rPr>
          <w:spacing w:val="-3"/>
        </w:rPr>
        <w:t>l</w:t>
      </w:r>
      <w:r>
        <w:t>e</w:t>
      </w:r>
      <w:r>
        <w:rPr>
          <w:spacing w:val="-2"/>
        </w:rPr>
        <w:t>v</w:t>
      </w:r>
      <w:r>
        <w:t xml:space="preserve">eraged </w:t>
      </w:r>
      <w:r>
        <w:rPr>
          <w:spacing w:val="-2"/>
        </w:rPr>
        <w:t>t</w:t>
      </w:r>
      <w:r>
        <w:t xml:space="preserve">o </w:t>
      </w:r>
      <w:r>
        <w:rPr>
          <w:spacing w:val="1"/>
        </w:rPr>
        <w:t>v</w:t>
      </w:r>
      <w:r>
        <w:t>alidate</w:t>
      </w:r>
      <w:r>
        <w:rPr>
          <w:spacing w:val="-2"/>
        </w:rPr>
        <w:t xml:space="preserve"> </w:t>
      </w:r>
      <w:r>
        <w:t>the</w:t>
      </w:r>
      <w:r>
        <w:rPr>
          <w:spacing w:val="-2"/>
        </w:rPr>
        <w:t xml:space="preserve"> </w:t>
      </w:r>
      <w:r>
        <w:t>effe</w:t>
      </w:r>
      <w:r>
        <w:rPr>
          <w:spacing w:val="-3"/>
        </w:rPr>
        <w:t>c</w:t>
      </w:r>
      <w:r>
        <w:t>ti</w:t>
      </w:r>
      <w:r>
        <w:rPr>
          <w:spacing w:val="-2"/>
        </w:rPr>
        <w:t>v</w:t>
      </w:r>
      <w:r>
        <w:t>e</w:t>
      </w:r>
      <w:r>
        <w:rPr>
          <w:spacing w:val="1"/>
        </w:rPr>
        <w:t xml:space="preserve"> </w:t>
      </w:r>
      <w:r>
        <w:t>Zone A studies</w:t>
      </w:r>
      <w:r>
        <w:rPr>
          <w:spacing w:val="-2"/>
        </w:rPr>
        <w:t xml:space="preserve"> </w:t>
      </w:r>
      <w:r>
        <w:t>within the</w:t>
      </w:r>
      <w:r>
        <w:rPr>
          <w:spacing w:val="-2"/>
        </w:rPr>
        <w:t xml:space="preserve"> </w:t>
      </w:r>
      <w:r>
        <w:t>pr</w:t>
      </w:r>
      <w:r>
        <w:rPr>
          <w:spacing w:val="1"/>
        </w:rPr>
        <w:t>o</w:t>
      </w:r>
      <w:r>
        <w:rPr>
          <w:spacing w:val="-3"/>
        </w:rPr>
        <w:t>j</w:t>
      </w:r>
      <w:r>
        <w:t>e</w:t>
      </w:r>
      <w:r>
        <w:rPr>
          <w:spacing w:val="-3"/>
        </w:rPr>
        <w:t>c</w:t>
      </w:r>
      <w:r>
        <w:t>t</w:t>
      </w:r>
      <w:r>
        <w:rPr>
          <w:spacing w:val="1"/>
        </w:rPr>
        <w:t xml:space="preserve"> </w:t>
      </w:r>
      <w:r>
        <w:t>f</w:t>
      </w:r>
      <w:r>
        <w:rPr>
          <w:spacing w:val="-2"/>
        </w:rPr>
        <w:t>o</w:t>
      </w:r>
      <w:r>
        <w:rPr>
          <w:spacing w:val="1"/>
        </w:rPr>
        <w:t>o</w:t>
      </w:r>
      <w:r>
        <w:t>tprint.</w:t>
      </w:r>
    </w:p>
    <w:p w14:paraId="130AF530" w14:textId="3DF7A4A1" w:rsidR="00BA7A78" w:rsidRDefault="00E209B0" w:rsidP="00E209B0">
      <w:pPr>
        <w:pStyle w:val="Heading2"/>
      </w:pPr>
      <w:bookmarkStart w:id="278" w:name="_Toc112244139"/>
      <w:r>
        <w:t>Special Flood Hazard Area</w:t>
      </w:r>
      <w:bookmarkEnd w:id="278"/>
      <w:r w:rsidR="00BA7A78">
        <w:t xml:space="preserve"> </w:t>
      </w:r>
    </w:p>
    <w:p w14:paraId="266CF8F2" w14:textId="77777777" w:rsidR="00BA7A78" w:rsidRDefault="00BA7A78" w:rsidP="00E209B0">
      <w:pPr>
        <w:pStyle w:val="Heading3"/>
      </w:pPr>
      <w:bookmarkStart w:id="279" w:name="_Toc112244140"/>
      <w:r>
        <w:t>Model Outputs</w:t>
      </w:r>
      <w:bookmarkEnd w:id="279"/>
    </w:p>
    <w:p w14:paraId="3D9732D5" w14:textId="5BA09199" w:rsidR="00BA7A78" w:rsidRDefault="004A0415" w:rsidP="00BA7A78">
      <w:pPr>
        <w:pStyle w:val="BodyText"/>
      </w:pPr>
      <w:r>
        <w:t xml:space="preserve">The HEC acknowledged RAS Mapper may not render water surface elevation values and/or delineate inundation extent appropriately for direct use in FEMA regulatory mapping products. </w:t>
      </w:r>
      <w:r>
        <w:rPr>
          <w:rFonts w:ascii="Arial" w:eastAsia="Times New Roman" w:hAnsi="Arial" w:cs="Times New Roman"/>
        </w:rPr>
        <w:t xml:space="preserve">To maintain a high level of consistency between modeling results and final mapping, </w:t>
      </w:r>
      <w:r w:rsidR="000470D0">
        <w:rPr>
          <w:rFonts w:ascii="Arial" w:eastAsia="Times New Roman" w:hAnsi="Arial" w:cs="Times New Roman"/>
        </w:rPr>
        <w:t>minimal</w:t>
      </w:r>
      <w:r>
        <w:rPr>
          <w:rFonts w:ascii="Arial" w:eastAsia="Times New Roman" w:hAnsi="Arial" w:cs="Times New Roman"/>
        </w:rPr>
        <w:t xml:space="preserve"> map clean up was performed while maintaining identification of both fluvial and pluvial flood risk as reflected by the models.  Additional processing may be required to make the mapping products FEMA compliant.</w:t>
      </w:r>
      <w:r w:rsidR="00BA7A78">
        <w:t xml:space="preserve">  </w:t>
      </w:r>
    </w:p>
    <w:p w14:paraId="6C85E3D4" w14:textId="77777777" w:rsidR="00BA7A78" w:rsidRDefault="00BA7A78" w:rsidP="00E209B0">
      <w:pPr>
        <w:pStyle w:val="Heading3"/>
      </w:pPr>
      <w:bookmarkStart w:id="280" w:name="_Ref82505774"/>
      <w:bookmarkStart w:id="281" w:name="_Toc112244141"/>
      <w:r>
        <w:t>Methodology</w:t>
      </w:r>
      <w:bookmarkEnd w:id="280"/>
      <w:bookmarkEnd w:id="281"/>
    </w:p>
    <w:p w14:paraId="4B29ECDC" w14:textId="20729304" w:rsidR="004A0415" w:rsidRPr="00EB5F21" w:rsidRDefault="004A0415" w:rsidP="0072554E">
      <w:pPr>
        <w:pStyle w:val="BodyText"/>
        <w:rPr>
          <w:rFonts w:ascii="Arial" w:eastAsia="Times New Roman" w:hAnsi="Arial" w:cs="Times New Roman"/>
        </w:rPr>
      </w:pPr>
      <w:bookmarkStart w:id="282" w:name="_Hlk80625598"/>
      <w:r>
        <w:t xml:space="preserve">The sloping render mode plots water surface elevation (WSE) by interpolating the WSE between the 2D cell faces, producing a more continuous flood inundation extent. Depth rasters from the sloping render mode were exported for the </w:t>
      </w:r>
      <w:r w:rsidR="00CB4DF1">
        <w:t>10-percent, 1-percent, and 0.2-percent</w:t>
      </w:r>
      <w:r>
        <w:t xml:space="preserve"> flood events with a tolerance of 0.001 feet.  To reduce the extent of disconnected flood areas, raster grid processing is used to filter and remove disconnected, small, or shallow areas of flooding by processing through the ‘</w:t>
      </w:r>
      <w:r>
        <w:fldChar w:fldCharType="begin"/>
      </w:r>
      <w:r>
        <w:instrText xml:space="preserve"> REF _Ref108767572 \h </w:instrText>
      </w:r>
      <w:r w:rsidR="0072554E">
        <w:instrText xml:space="preserve"> \* MERGEFORMAT </w:instrText>
      </w:r>
      <w:r>
        <w:fldChar w:fldCharType="separate"/>
      </w:r>
      <w:r w:rsidR="007D7CA7">
        <w:t>Mapping Threshold Matrix</w:t>
      </w:r>
      <w:r>
        <w:fldChar w:fldCharType="end"/>
      </w:r>
      <w:r>
        <w:t xml:space="preserve">’ shown in </w:t>
      </w:r>
      <w:r>
        <w:fldChar w:fldCharType="begin"/>
      </w:r>
      <w:r>
        <w:instrText xml:space="preserve"> REF _Ref108767630 \h </w:instrText>
      </w:r>
      <w:r w:rsidR="0072554E">
        <w:instrText xml:space="preserve"> \* MERGEFORMAT </w:instrText>
      </w:r>
      <w:r>
        <w:fldChar w:fldCharType="separate"/>
      </w:r>
      <w:r w:rsidR="007D7CA7">
        <w:t xml:space="preserve">Table </w:t>
      </w:r>
      <w:r w:rsidR="007D7CA7">
        <w:rPr>
          <w:noProof/>
        </w:rPr>
        <w:t>13</w:t>
      </w:r>
      <w:r>
        <w:fldChar w:fldCharType="end"/>
      </w:r>
      <w:r>
        <w:t>.</w:t>
      </w:r>
      <w:bookmarkEnd w:id="282"/>
      <w:r w:rsidRPr="00EB5F21">
        <w:rPr>
          <w:rFonts w:ascii="Arial" w:eastAsia="Times New Roman" w:hAnsi="Arial" w:cs="Times New Roman"/>
        </w:rPr>
        <w:t xml:space="preserve">.  </w:t>
      </w:r>
    </w:p>
    <w:p w14:paraId="22708658" w14:textId="77777777" w:rsidR="004A0415" w:rsidRDefault="004A0415" w:rsidP="004A0415">
      <w:pPr>
        <w:pStyle w:val="Caption"/>
        <w:jc w:val="center"/>
      </w:pPr>
      <w:bookmarkStart w:id="283" w:name="_Ref108767630"/>
      <w:bookmarkStart w:id="284" w:name="_Ref108767267"/>
      <w:bookmarkStart w:id="285" w:name="_Toc112244176"/>
      <w:r>
        <w:t xml:space="preserve">Table </w:t>
      </w:r>
      <w:r>
        <w:fldChar w:fldCharType="begin"/>
      </w:r>
      <w:r>
        <w:instrText xml:space="preserve"> SEQ Table \* ARABIC </w:instrText>
      </w:r>
      <w:r>
        <w:fldChar w:fldCharType="separate"/>
      </w:r>
      <w:r w:rsidR="007D7CA7">
        <w:rPr>
          <w:noProof/>
        </w:rPr>
        <w:t>13</w:t>
      </w:r>
      <w:r>
        <w:fldChar w:fldCharType="end"/>
      </w:r>
      <w:bookmarkEnd w:id="283"/>
      <w:r>
        <w:t xml:space="preserve">: </w:t>
      </w:r>
      <w:bookmarkStart w:id="286" w:name="_Ref108767572"/>
      <w:r>
        <w:t>Mapping Threshold Matrix</w:t>
      </w:r>
      <w:bookmarkEnd w:id="284"/>
      <w:bookmarkEnd w:id="286"/>
      <w:bookmarkEnd w:id="285"/>
    </w:p>
    <w:tbl>
      <w:tblPr>
        <w:tblStyle w:val="CompassTable"/>
        <w:tblW w:w="0" w:type="auto"/>
        <w:jc w:val="center"/>
        <w:tblLook w:val="04A0" w:firstRow="1" w:lastRow="0" w:firstColumn="1" w:lastColumn="0" w:noHBand="0" w:noVBand="1"/>
      </w:tblPr>
      <w:tblGrid>
        <w:gridCol w:w="1857"/>
        <w:gridCol w:w="1890"/>
      </w:tblGrid>
      <w:tr w:rsidR="004A0415" w14:paraId="26565456" w14:textId="77777777" w:rsidTr="004A0415">
        <w:trPr>
          <w:cnfStyle w:val="100000000000" w:firstRow="1" w:lastRow="0" w:firstColumn="0" w:lastColumn="0" w:oddVBand="0" w:evenVBand="0" w:oddHBand="0" w:evenHBand="0" w:firstRowFirstColumn="0" w:firstRowLastColumn="0" w:lastRowFirstColumn="0" w:lastRowLastColumn="0"/>
          <w:jc w:val="center"/>
        </w:trPr>
        <w:tc>
          <w:tcPr>
            <w:tcW w:w="1857" w:type="dxa"/>
            <w:shd w:val="clear" w:color="auto" w:fill="00B0F0"/>
          </w:tcPr>
          <w:p w14:paraId="51DEB050" w14:textId="77777777" w:rsidR="004A0415" w:rsidRPr="008D701F" w:rsidRDefault="004A0415" w:rsidP="004A0415">
            <w:pPr>
              <w:jc w:val="center"/>
              <w:rPr>
                <w:rFonts w:eastAsia="Times New Roman" w:cs="Times New Roman"/>
                <w:color w:val="FFFFFF" w:themeColor="background1"/>
                <w:sz w:val="20"/>
                <w:szCs w:val="20"/>
              </w:rPr>
            </w:pPr>
            <w:r w:rsidRPr="008D701F">
              <w:rPr>
                <w:rFonts w:eastAsia="Times New Roman" w:cs="Times New Roman"/>
                <w:color w:val="FFFFFF" w:themeColor="background1"/>
                <w:sz w:val="20"/>
                <w:szCs w:val="20"/>
              </w:rPr>
              <w:t>Area (ac</w:t>
            </w:r>
            <w:r>
              <w:rPr>
                <w:rFonts w:eastAsia="Times New Roman" w:cs="Times New Roman"/>
                <w:color w:val="FFFFFF" w:themeColor="background1"/>
                <w:sz w:val="20"/>
                <w:szCs w:val="20"/>
              </w:rPr>
              <w:t>res</w:t>
            </w:r>
            <w:r w:rsidRPr="008D701F">
              <w:rPr>
                <w:rFonts w:eastAsia="Times New Roman" w:cs="Times New Roman"/>
                <w:color w:val="FFFFFF" w:themeColor="background1"/>
                <w:sz w:val="20"/>
                <w:szCs w:val="20"/>
              </w:rPr>
              <w:t>)</w:t>
            </w:r>
          </w:p>
        </w:tc>
        <w:tc>
          <w:tcPr>
            <w:tcW w:w="1890" w:type="dxa"/>
            <w:shd w:val="clear" w:color="auto" w:fill="00B0F0"/>
          </w:tcPr>
          <w:p w14:paraId="671EDECD" w14:textId="21B9438A" w:rsidR="004A0415" w:rsidRPr="008D701F" w:rsidRDefault="004A0415" w:rsidP="004A0415">
            <w:pPr>
              <w:jc w:val="center"/>
              <w:rPr>
                <w:rFonts w:eastAsia="Times New Roman" w:cs="Times New Roman"/>
                <w:color w:val="FFFFFF" w:themeColor="background1"/>
                <w:sz w:val="20"/>
                <w:szCs w:val="20"/>
              </w:rPr>
            </w:pPr>
            <w:r w:rsidRPr="008D701F">
              <w:rPr>
                <w:rFonts w:eastAsia="Times New Roman" w:cs="Times New Roman"/>
                <w:color w:val="FFFFFF" w:themeColor="background1"/>
                <w:sz w:val="20"/>
                <w:szCs w:val="20"/>
              </w:rPr>
              <w:t>Average Depth</w:t>
            </w:r>
            <w:r w:rsidR="00CB4DF1">
              <w:rPr>
                <w:rFonts w:eastAsia="Times New Roman" w:cs="Times New Roman"/>
                <w:color w:val="FFFFFF" w:themeColor="background1"/>
                <w:sz w:val="20"/>
                <w:szCs w:val="20"/>
              </w:rPr>
              <w:t xml:space="preserve"> </w:t>
            </w:r>
            <w:r w:rsidRPr="008D701F">
              <w:rPr>
                <w:rFonts w:eastAsia="Times New Roman" w:cs="Times New Roman"/>
                <w:color w:val="FFFFFF" w:themeColor="background1"/>
                <w:sz w:val="20"/>
                <w:szCs w:val="20"/>
              </w:rPr>
              <w:t>(f</w:t>
            </w:r>
            <w:r>
              <w:rPr>
                <w:rFonts w:eastAsia="Times New Roman" w:cs="Times New Roman"/>
                <w:color w:val="FFFFFF" w:themeColor="background1"/>
                <w:sz w:val="20"/>
                <w:szCs w:val="20"/>
              </w:rPr>
              <w:t>ee</w:t>
            </w:r>
            <w:r w:rsidRPr="008D701F">
              <w:rPr>
                <w:rFonts w:eastAsia="Times New Roman" w:cs="Times New Roman"/>
                <w:color w:val="FFFFFF" w:themeColor="background1"/>
                <w:sz w:val="20"/>
                <w:szCs w:val="20"/>
              </w:rPr>
              <w:t>t)</w:t>
            </w:r>
          </w:p>
        </w:tc>
      </w:tr>
      <w:tr w:rsidR="004A0415" w14:paraId="6D4800FF" w14:textId="77777777" w:rsidTr="004A0415">
        <w:trPr>
          <w:cnfStyle w:val="000000100000" w:firstRow="0" w:lastRow="0" w:firstColumn="0" w:lastColumn="0" w:oddVBand="0" w:evenVBand="0" w:oddHBand="1" w:evenHBand="0" w:firstRowFirstColumn="0" w:firstRowLastColumn="0" w:lastRowFirstColumn="0" w:lastRowLastColumn="0"/>
          <w:jc w:val="center"/>
        </w:trPr>
        <w:tc>
          <w:tcPr>
            <w:tcW w:w="1857" w:type="dxa"/>
          </w:tcPr>
          <w:p w14:paraId="58EE365E" w14:textId="77777777" w:rsidR="004A0415" w:rsidRPr="008D701F" w:rsidRDefault="004A0415" w:rsidP="004A0415">
            <w:pPr>
              <w:jc w:val="center"/>
              <w:rPr>
                <w:rFonts w:eastAsia="Times New Roman" w:cs="Times New Roman"/>
                <w:szCs w:val="20"/>
              </w:rPr>
            </w:pPr>
            <w:r w:rsidRPr="008D701F">
              <w:rPr>
                <w:rFonts w:eastAsia="Times New Roman" w:cs="Times New Roman"/>
                <w:szCs w:val="20"/>
              </w:rPr>
              <w:t>&lt; 0.33</w:t>
            </w:r>
          </w:p>
        </w:tc>
        <w:tc>
          <w:tcPr>
            <w:tcW w:w="1890" w:type="dxa"/>
          </w:tcPr>
          <w:p w14:paraId="45A886CB" w14:textId="77777777" w:rsidR="004A0415" w:rsidRPr="008D701F" w:rsidRDefault="004A0415" w:rsidP="004A0415">
            <w:pPr>
              <w:jc w:val="center"/>
              <w:rPr>
                <w:rFonts w:eastAsia="Times New Roman" w:cs="Times New Roman"/>
                <w:szCs w:val="20"/>
              </w:rPr>
            </w:pPr>
            <w:r w:rsidRPr="008D701F">
              <w:rPr>
                <w:rFonts w:eastAsia="Times New Roman" w:cs="Times New Roman"/>
                <w:szCs w:val="20"/>
              </w:rPr>
              <w:t>-</w:t>
            </w:r>
          </w:p>
        </w:tc>
      </w:tr>
      <w:tr w:rsidR="004A0415" w14:paraId="49E321C5" w14:textId="77777777" w:rsidTr="004A0415">
        <w:trPr>
          <w:cnfStyle w:val="000000010000" w:firstRow="0" w:lastRow="0" w:firstColumn="0" w:lastColumn="0" w:oddVBand="0" w:evenVBand="0" w:oddHBand="0" w:evenHBand="1" w:firstRowFirstColumn="0" w:firstRowLastColumn="0" w:lastRowFirstColumn="0" w:lastRowLastColumn="0"/>
          <w:jc w:val="center"/>
        </w:trPr>
        <w:tc>
          <w:tcPr>
            <w:tcW w:w="1857" w:type="dxa"/>
          </w:tcPr>
          <w:p w14:paraId="7E5B1C03" w14:textId="77777777" w:rsidR="004A0415" w:rsidRPr="008D701F" w:rsidRDefault="004A0415" w:rsidP="004A0415">
            <w:pPr>
              <w:jc w:val="center"/>
              <w:rPr>
                <w:rFonts w:eastAsia="Times New Roman" w:cs="Times New Roman"/>
                <w:szCs w:val="20"/>
              </w:rPr>
            </w:pPr>
            <w:r w:rsidRPr="008D701F">
              <w:rPr>
                <w:rFonts w:eastAsia="Times New Roman" w:cs="Times New Roman"/>
                <w:szCs w:val="20"/>
              </w:rPr>
              <w:t>0.33 – 0.5</w:t>
            </w:r>
          </w:p>
        </w:tc>
        <w:tc>
          <w:tcPr>
            <w:tcW w:w="1890" w:type="dxa"/>
          </w:tcPr>
          <w:p w14:paraId="084E9628" w14:textId="1B9DAA5C" w:rsidR="004A0415" w:rsidRPr="008D701F" w:rsidRDefault="004A0415" w:rsidP="00957E9E">
            <w:pPr>
              <w:jc w:val="center"/>
              <w:rPr>
                <w:rFonts w:eastAsia="Times New Roman" w:cs="Times New Roman"/>
                <w:szCs w:val="20"/>
              </w:rPr>
            </w:pPr>
            <w:r w:rsidRPr="008D701F">
              <w:rPr>
                <w:rFonts w:eastAsia="Times New Roman" w:cs="Times New Roman"/>
                <w:szCs w:val="20"/>
              </w:rPr>
              <w:t>&lt; 0.</w:t>
            </w:r>
            <w:r w:rsidR="00957E9E">
              <w:rPr>
                <w:rFonts w:eastAsia="Times New Roman" w:cs="Times New Roman"/>
                <w:szCs w:val="20"/>
              </w:rPr>
              <w:t>5</w:t>
            </w:r>
          </w:p>
        </w:tc>
      </w:tr>
      <w:tr w:rsidR="004A0415" w14:paraId="7C21351C" w14:textId="77777777" w:rsidTr="004A0415">
        <w:trPr>
          <w:cnfStyle w:val="000000100000" w:firstRow="0" w:lastRow="0" w:firstColumn="0" w:lastColumn="0" w:oddVBand="0" w:evenVBand="0" w:oddHBand="1" w:evenHBand="0" w:firstRowFirstColumn="0" w:firstRowLastColumn="0" w:lastRowFirstColumn="0" w:lastRowLastColumn="0"/>
          <w:jc w:val="center"/>
        </w:trPr>
        <w:tc>
          <w:tcPr>
            <w:tcW w:w="1857" w:type="dxa"/>
          </w:tcPr>
          <w:p w14:paraId="299366F9" w14:textId="77777777" w:rsidR="004A0415" w:rsidRPr="008D701F" w:rsidRDefault="004A0415" w:rsidP="004A0415">
            <w:pPr>
              <w:jc w:val="center"/>
              <w:rPr>
                <w:rFonts w:eastAsia="Times New Roman" w:cs="Times New Roman"/>
                <w:szCs w:val="20"/>
              </w:rPr>
            </w:pPr>
            <w:r w:rsidRPr="008D701F">
              <w:rPr>
                <w:rFonts w:eastAsia="Times New Roman" w:cs="Times New Roman"/>
                <w:szCs w:val="20"/>
              </w:rPr>
              <w:t>0.5 – 1.0</w:t>
            </w:r>
          </w:p>
        </w:tc>
        <w:tc>
          <w:tcPr>
            <w:tcW w:w="1890" w:type="dxa"/>
          </w:tcPr>
          <w:p w14:paraId="16E22139" w14:textId="63817FC9" w:rsidR="004A0415" w:rsidRPr="008D701F" w:rsidRDefault="004A0415" w:rsidP="00957E9E">
            <w:pPr>
              <w:jc w:val="center"/>
              <w:rPr>
                <w:rFonts w:eastAsia="Times New Roman" w:cs="Times New Roman"/>
                <w:szCs w:val="20"/>
              </w:rPr>
            </w:pPr>
            <w:r w:rsidRPr="008D701F">
              <w:rPr>
                <w:rFonts w:eastAsia="Times New Roman" w:cs="Times New Roman"/>
                <w:szCs w:val="20"/>
              </w:rPr>
              <w:t>&lt; 0.</w:t>
            </w:r>
            <w:r w:rsidR="00957E9E">
              <w:rPr>
                <w:rFonts w:eastAsia="Times New Roman" w:cs="Times New Roman"/>
                <w:szCs w:val="20"/>
              </w:rPr>
              <w:t>33</w:t>
            </w:r>
          </w:p>
        </w:tc>
      </w:tr>
      <w:tr w:rsidR="004A0415" w14:paraId="29AA9AF7" w14:textId="77777777" w:rsidTr="004A0415">
        <w:trPr>
          <w:cnfStyle w:val="000000010000" w:firstRow="0" w:lastRow="0" w:firstColumn="0" w:lastColumn="0" w:oddVBand="0" w:evenVBand="0" w:oddHBand="0" w:evenHBand="1" w:firstRowFirstColumn="0" w:firstRowLastColumn="0" w:lastRowFirstColumn="0" w:lastRowLastColumn="0"/>
          <w:jc w:val="center"/>
        </w:trPr>
        <w:tc>
          <w:tcPr>
            <w:tcW w:w="1857" w:type="dxa"/>
          </w:tcPr>
          <w:p w14:paraId="20FF7639" w14:textId="77777777" w:rsidR="004A0415" w:rsidRPr="008D701F" w:rsidRDefault="004A0415" w:rsidP="004A0415">
            <w:pPr>
              <w:jc w:val="center"/>
              <w:rPr>
                <w:rFonts w:eastAsia="Times New Roman" w:cs="Times New Roman"/>
                <w:szCs w:val="20"/>
              </w:rPr>
            </w:pPr>
            <w:r w:rsidRPr="008D701F">
              <w:rPr>
                <w:rFonts w:eastAsia="Times New Roman" w:cs="Times New Roman"/>
                <w:szCs w:val="20"/>
              </w:rPr>
              <w:t>1.0 – 2.0</w:t>
            </w:r>
          </w:p>
        </w:tc>
        <w:tc>
          <w:tcPr>
            <w:tcW w:w="1890" w:type="dxa"/>
          </w:tcPr>
          <w:p w14:paraId="036736B6" w14:textId="77777777" w:rsidR="004A0415" w:rsidRPr="008D701F" w:rsidRDefault="004A0415" w:rsidP="004A0415">
            <w:pPr>
              <w:jc w:val="center"/>
              <w:rPr>
                <w:rFonts w:eastAsia="Times New Roman" w:cs="Times New Roman"/>
                <w:szCs w:val="20"/>
              </w:rPr>
            </w:pPr>
            <w:r w:rsidRPr="008D701F">
              <w:rPr>
                <w:rFonts w:eastAsia="Times New Roman" w:cs="Times New Roman"/>
                <w:szCs w:val="20"/>
              </w:rPr>
              <w:t>&lt;0.1</w:t>
            </w:r>
          </w:p>
        </w:tc>
      </w:tr>
    </w:tbl>
    <w:p w14:paraId="1107CE13" w14:textId="77777777" w:rsidR="004A0415" w:rsidRPr="00EB5F21" w:rsidRDefault="004A0415" w:rsidP="004A0415">
      <w:pPr>
        <w:rPr>
          <w:rFonts w:ascii="Arial" w:eastAsia="Times New Roman" w:hAnsi="Arial" w:cs="Times New Roman"/>
        </w:rPr>
      </w:pPr>
    </w:p>
    <w:p w14:paraId="7379684B" w14:textId="667EC90E" w:rsidR="004A0415" w:rsidRDefault="004A0415" w:rsidP="0072554E">
      <w:pPr>
        <w:pStyle w:val="BodyText"/>
      </w:pPr>
      <w:r>
        <w:t>Polygon outputs from the ‘</w:t>
      </w:r>
      <w:r>
        <w:fldChar w:fldCharType="begin"/>
      </w:r>
      <w:r>
        <w:instrText xml:space="preserve"> REF _Ref108767572 \h </w:instrText>
      </w:r>
      <w:r w:rsidR="0072554E">
        <w:instrText xml:space="preserve"> \* MERGEFORMAT </w:instrText>
      </w:r>
      <w:r>
        <w:fldChar w:fldCharType="separate"/>
      </w:r>
      <w:r w:rsidR="007D7CA7">
        <w:t>Mapping Threshold Matrix</w:t>
      </w:r>
      <w:r>
        <w:fldChar w:fldCharType="end"/>
      </w:r>
      <w:r>
        <w:t xml:space="preserve">’ also fill in minor areas of high ground (islands) that are less than 0.33 acre. The outputs are then modified through a Simplication and Smoothing process to reduce unnecessary/erroneous vertices, remove rough edges and reduce the size and complexity of the raw floodplain polygons for the </w:t>
      </w:r>
      <w:r w:rsidR="008A47D0">
        <w:t>1-percent, and 0.2-percent</w:t>
      </w:r>
      <w:r>
        <w:t xml:space="preserve"> flood events.  For the Cowhouse watershed, the polygon outputs were simplified by retaining critical points at a 5 foot tolerance.  The simplified polygon outputs were then smoothed utilizing the PAEK algorithm and the tolerance was set to 25 feet. The 10</w:t>
      </w:r>
      <w:r w:rsidR="008A47D0">
        <w:t>-percent</w:t>
      </w:r>
      <w:r>
        <w:t xml:space="preserve"> flood event polygons are not modified through the simplification and smoothing process and are delivered in the rasterized polygon shape.</w:t>
      </w:r>
    </w:p>
    <w:p w14:paraId="65BBC695" w14:textId="22367D80" w:rsidR="008E2745" w:rsidRDefault="00D64D34" w:rsidP="0072554E">
      <w:pPr>
        <w:pStyle w:val="BodyText"/>
      </w:pPr>
      <w:r>
        <w:t xml:space="preserve">Due to topographic differences within a lake footprint, these areas sometimes appear partially mapped in the flood extents from the model results.  Lakes and reservoirs larger than 40 acres are reviewed to ensure full inundation on </w:t>
      </w:r>
      <w:r>
        <w:lastRenderedPageBreak/>
        <w:t xml:space="preserve">the </w:t>
      </w:r>
      <w:r w:rsidR="008A47D0">
        <w:t>1-percent, and 0.2-percent</w:t>
      </w:r>
      <w:r>
        <w:t xml:space="preserve"> polygon extents. If necessary, lake boundaries were copied into the flood event polygons to make sure they are fully mapped.  </w:t>
      </w:r>
    </w:p>
    <w:p w14:paraId="314CC2BD" w14:textId="28F41EAA" w:rsidR="0072554E" w:rsidRDefault="00D64D34" w:rsidP="0072554E">
      <w:pPr>
        <w:pStyle w:val="BodyText"/>
      </w:pPr>
      <w:r>
        <w:t xml:space="preserve">Once the final polygon flood extents are complete, it is necessary to merge the </w:t>
      </w:r>
      <w:r w:rsidR="008A47D0">
        <w:t>10-percent</w:t>
      </w:r>
      <w:r>
        <w:t xml:space="preserve"> boundaries into the 1</w:t>
      </w:r>
      <w:r w:rsidR="008A47D0">
        <w:t>-percent</w:t>
      </w:r>
      <w:r>
        <w:t xml:space="preserve"> and the 1</w:t>
      </w:r>
      <w:r w:rsidR="008A47D0">
        <w:t>-percent</w:t>
      </w:r>
      <w:r>
        <w:t xml:space="preserve"> extents into the 0.2</w:t>
      </w:r>
      <w:r w:rsidR="008A47D0">
        <w:t>-percent</w:t>
      </w:r>
      <w:r>
        <w:t xml:space="preserve"> extents.  This step ensures that the extents of the 10</w:t>
      </w:r>
      <w:r w:rsidR="008A47D0">
        <w:t>-percent</w:t>
      </w:r>
      <w:r>
        <w:t xml:space="preserve"> floodplain is smaller than the 1</w:t>
      </w:r>
      <w:r w:rsidR="008A47D0">
        <w:t>-percent</w:t>
      </w:r>
      <w:r>
        <w:t xml:space="preserve"> floodplain, and the 1</w:t>
      </w:r>
      <w:r w:rsidR="008A47D0">
        <w:t>-percent</w:t>
      </w:r>
      <w:r>
        <w:t xml:space="preserve"> is smaller than the extents of the 0.2</w:t>
      </w:r>
      <w:r w:rsidR="008A47D0">
        <w:t>-percent</w:t>
      </w:r>
      <w:r>
        <w:t xml:space="preserve"> floodplain.</w:t>
      </w:r>
    </w:p>
    <w:p w14:paraId="5AC0D41C" w14:textId="77777777" w:rsidR="00BA7A78" w:rsidRDefault="00BA7A78" w:rsidP="00E209B0">
      <w:pPr>
        <w:pStyle w:val="Heading3"/>
      </w:pPr>
      <w:bookmarkStart w:id="287" w:name="_Toc112244142"/>
      <w:r>
        <w:t>BLE Flood Hazard Layer</w:t>
      </w:r>
      <w:bookmarkEnd w:id="287"/>
    </w:p>
    <w:p w14:paraId="5DD60D84" w14:textId="7E138B58" w:rsidR="00DB3CFE" w:rsidRDefault="00DB3CFE" w:rsidP="0072554E">
      <w:pPr>
        <w:pStyle w:val="BodyText"/>
      </w:pPr>
      <w:r w:rsidRPr="002502C9">
        <w:rPr>
          <w:spacing w:val="-1"/>
        </w:rPr>
        <w:t>BLE database f</w:t>
      </w:r>
      <w:r w:rsidRPr="002502C9">
        <w:rPr>
          <w:spacing w:val="1"/>
        </w:rPr>
        <w:t>o</w:t>
      </w:r>
      <w:r w:rsidRPr="002502C9">
        <w:rPr>
          <w:spacing w:val="-3"/>
        </w:rPr>
        <w:t>r</w:t>
      </w:r>
      <w:r w:rsidRPr="002502C9">
        <w:rPr>
          <w:spacing w:val="1"/>
        </w:rPr>
        <w:t>m</w:t>
      </w:r>
      <w:r w:rsidRPr="002502C9">
        <w:rPr>
          <w:spacing w:val="-1"/>
        </w:rPr>
        <w:t>at F</w:t>
      </w:r>
      <w:r w:rsidRPr="002502C9">
        <w:t>LD_</w:t>
      </w:r>
      <w:r w:rsidRPr="002502C9">
        <w:rPr>
          <w:spacing w:val="-1"/>
        </w:rPr>
        <w:t>HA</w:t>
      </w:r>
      <w:r w:rsidRPr="002502C9">
        <w:rPr>
          <w:spacing w:val="-3"/>
        </w:rPr>
        <w:t>Z</w:t>
      </w:r>
      <w:r w:rsidRPr="002502C9">
        <w:t>_</w:t>
      </w:r>
      <w:r w:rsidRPr="002502C9">
        <w:rPr>
          <w:spacing w:val="-1"/>
        </w:rPr>
        <w:t>A</w:t>
      </w:r>
      <w:r w:rsidRPr="002502C9">
        <w:t>R feature classes were developed and attributed with Zone A and Shaded Zone X features.</w:t>
      </w:r>
      <w:r w:rsidRPr="002502C9">
        <w:rPr>
          <w:spacing w:val="47"/>
        </w:rPr>
        <w:t xml:space="preserve"> </w:t>
      </w:r>
      <w:r w:rsidRPr="002502C9">
        <w:t>T</w:t>
      </w:r>
      <w:r w:rsidRPr="002502C9">
        <w:rPr>
          <w:spacing w:val="-1"/>
        </w:rPr>
        <w:t>h</w:t>
      </w:r>
      <w:r w:rsidRPr="002502C9">
        <w:t>e BLE FLD_HAZ_AR</w:t>
      </w:r>
      <w:r w:rsidRPr="002502C9">
        <w:rPr>
          <w:spacing w:val="1"/>
        </w:rPr>
        <w:t xml:space="preserve"> </w:t>
      </w:r>
      <w:r w:rsidRPr="002502C9">
        <w:rPr>
          <w:spacing w:val="-3"/>
        </w:rPr>
        <w:t>f</w:t>
      </w:r>
      <w:r w:rsidRPr="002502C9">
        <w:t>e</w:t>
      </w:r>
      <w:r w:rsidRPr="002502C9">
        <w:rPr>
          <w:spacing w:val="-1"/>
        </w:rPr>
        <w:t>a</w:t>
      </w:r>
      <w:r w:rsidRPr="002502C9">
        <w:t>t</w:t>
      </w:r>
      <w:r w:rsidRPr="002502C9">
        <w:rPr>
          <w:spacing w:val="-1"/>
        </w:rPr>
        <w:t>ur</w:t>
      </w:r>
      <w:r w:rsidRPr="002502C9">
        <w:t>e</w:t>
      </w:r>
      <w:r w:rsidRPr="002502C9">
        <w:rPr>
          <w:spacing w:val="-2"/>
        </w:rPr>
        <w:t xml:space="preserve"> </w:t>
      </w:r>
      <w:r w:rsidRPr="002502C9">
        <w:t>c</w:t>
      </w:r>
      <w:r w:rsidRPr="002502C9">
        <w:rPr>
          <w:spacing w:val="-1"/>
        </w:rPr>
        <w:t>las</w:t>
      </w:r>
      <w:r w:rsidRPr="002502C9">
        <w:t>s</w:t>
      </w:r>
      <w:r w:rsidRPr="002502C9">
        <w:rPr>
          <w:spacing w:val="-2"/>
        </w:rPr>
        <w:t xml:space="preserve"> </w:t>
      </w:r>
      <w:r w:rsidRPr="002502C9">
        <w:t>w</w:t>
      </w:r>
      <w:r w:rsidRPr="002502C9">
        <w:rPr>
          <w:spacing w:val="-1"/>
        </w:rPr>
        <w:t>a</w:t>
      </w:r>
      <w:r w:rsidRPr="002502C9">
        <w:t xml:space="preserve">s </w:t>
      </w:r>
      <w:r w:rsidRPr="002502C9">
        <w:rPr>
          <w:spacing w:val="-2"/>
        </w:rPr>
        <w:t>t</w:t>
      </w:r>
      <w:r w:rsidRPr="002502C9">
        <w:t>es</w:t>
      </w:r>
      <w:r w:rsidRPr="002502C9">
        <w:rPr>
          <w:spacing w:val="-2"/>
        </w:rPr>
        <w:t>t</w:t>
      </w:r>
      <w:r w:rsidRPr="002502C9">
        <w:t>ed</w:t>
      </w:r>
      <w:r w:rsidRPr="002502C9">
        <w:rPr>
          <w:spacing w:val="-1"/>
        </w:rPr>
        <w:t xml:space="preserve"> f</w:t>
      </w:r>
      <w:r w:rsidRPr="002502C9">
        <w:rPr>
          <w:spacing w:val="1"/>
        </w:rPr>
        <w:t>o</w:t>
      </w:r>
      <w:r w:rsidRPr="002502C9">
        <w:t>r</w:t>
      </w:r>
      <w:r w:rsidRPr="002502C9">
        <w:rPr>
          <w:spacing w:val="-5"/>
        </w:rPr>
        <w:t xml:space="preserve"> </w:t>
      </w:r>
      <w:r w:rsidRPr="002502C9">
        <w:t>t</w:t>
      </w:r>
      <w:r w:rsidRPr="002502C9">
        <w:rPr>
          <w:spacing w:val="1"/>
        </w:rPr>
        <w:t>o</w:t>
      </w:r>
      <w:r w:rsidRPr="002502C9">
        <w:rPr>
          <w:spacing w:val="-1"/>
        </w:rPr>
        <w:t>p</w:t>
      </w:r>
      <w:r w:rsidRPr="002502C9">
        <w:rPr>
          <w:spacing w:val="1"/>
        </w:rPr>
        <w:t>o</w:t>
      </w:r>
      <w:r w:rsidRPr="002502C9">
        <w:rPr>
          <w:spacing w:val="-3"/>
        </w:rPr>
        <w:t>l</w:t>
      </w:r>
      <w:r w:rsidRPr="002502C9">
        <w:rPr>
          <w:spacing w:val="1"/>
        </w:rPr>
        <w:t>o</w:t>
      </w:r>
      <w:r w:rsidRPr="002502C9">
        <w:rPr>
          <w:spacing w:val="-1"/>
        </w:rPr>
        <w:t>gi</w:t>
      </w:r>
      <w:r w:rsidRPr="002502C9">
        <w:t>c</w:t>
      </w:r>
      <w:r w:rsidRPr="002502C9">
        <w:rPr>
          <w:spacing w:val="-1"/>
        </w:rPr>
        <w:t>a</w:t>
      </w:r>
      <w:r w:rsidRPr="002502C9">
        <w:t>l</w:t>
      </w:r>
      <w:r w:rsidRPr="002502C9">
        <w:rPr>
          <w:spacing w:val="-3"/>
        </w:rPr>
        <w:t xml:space="preserve"> </w:t>
      </w:r>
      <w:r w:rsidRPr="002502C9">
        <w:t>e</w:t>
      </w:r>
      <w:r w:rsidRPr="002502C9">
        <w:rPr>
          <w:spacing w:val="-1"/>
        </w:rPr>
        <w:t>r</w:t>
      </w:r>
      <w:r w:rsidRPr="002502C9">
        <w:rPr>
          <w:spacing w:val="-3"/>
        </w:rPr>
        <w:t>r</w:t>
      </w:r>
      <w:r w:rsidRPr="002502C9">
        <w:rPr>
          <w:spacing w:val="1"/>
        </w:rPr>
        <w:t>o</w:t>
      </w:r>
      <w:r w:rsidRPr="002502C9">
        <w:rPr>
          <w:spacing w:val="-1"/>
        </w:rPr>
        <w:t>r</w:t>
      </w:r>
      <w:r w:rsidRPr="002502C9">
        <w:t xml:space="preserve">s </w:t>
      </w:r>
      <w:r w:rsidRPr="002502C9">
        <w:rPr>
          <w:spacing w:val="-1"/>
        </w:rPr>
        <w:t>d</w:t>
      </w:r>
      <w:r w:rsidRPr="002502C9">
        <w:t>e</w:t>
      </w:r>
      <w:r w:rsidRPr="002502C9">
        <w:rPr>
          <w:spacing w:val="-3"/>
        </w:rPr>
        <w:t>s</w:t>
      </w:r>
      <w:r w:rsidRPr="002502C9">
        <w:t>c</w:t>
      </w:r>
      <w:r w:rsidRPr="002502C9">
        <w:rPr>
          <w:spacing w:val="-1"/>
        </w:rPr>
        <w:t>rib</w:t>
      </w:r>
      <w:r w:rsidRPr="002502C9">
        <w:rPr>
          <w:spacing w:val="-2"/>
        </w:rPr>
        <w:t>e</w:t>
      </w:r>
      <w:r w:rsidRPr="002502C9">
        <w:t>d</w:t>
      </w:r>
      <w:r w:rsidRPr="002502C9">
        <w:rPr>
          <w:spacing w:val="-1"/>
        </w:rPr>
        <w:t xml:space="preserve"> i</w:t>
      </w:r>
      <w:r w:rsidRPr="002502C9">
        <w:t>n</w:t>
      </w:r>
      <w:r w:rsidRPr="002502C9">
        <w:rPr>
          <w:spacing w:val="-1"/>
        </w:rPr>
        <w:t xml:space="preserve"> </w:t>
      </w:r>
      <w:r w:rsidRPr="002502C9">
        <w:t>t</w:t>
      </w:r>
      <w:r w:rsidRPr="002502C9">
        <w:rPr>
          <w:spacing w:val="-1"/>
        </w:rPr>
        <w:t>h</w:t>
      </w:r>
      <w:r w:rsidRPr="002502C9">
        <w:t>e</w:t>
      </w:r>
      <w:r w:rsidRPr="002502C9">
        <w:rPr>
          <w:spacing w:val="1"/>
        </w:rPr>
        <w:t xml:space="preserve"> </w:t>
      </w:r>
      <w:r w:rsidRPr="002502C9">
        <w:rPr>
          <w:spacing w:val="-1"/>
        </w:rPr>
        <w:t>FI</w:t>
      </w:r>
      <w:r w:rsidRPr="002502C9">
        <w:rPr>
          <w:spacing w:val="-3"/>
        </w:rPr>
        <w:t>R</w:t>
      </w:r>
      <w:r w:rsidRPr="002502C9">
        <w:t>M</w:t>
      </w:r>
      <w:r w:rsidRPr="002502C9">
        <w:rPr>
          <w:spacing w:val="1"/>
        </w:rPr>
        <w:t xml:space="preserve"> </w:t>
      </w:r>
      <w:r w:rsidRPr="002502C9">
        <w:rPr>
          <w:spacing w:val="-2"/>
        </w:rPr>
        <w:t>D</w:t>
      </w:r>
      <w:r w:rsidRPr="002502C9">
        <w:rPr>
          <w:spacing w:val="-1"/>
        </w:rPr>
        <w:t>a</w:t>
      </w:r>
      <w:r w:rsidRPr="002502C9">
        <w:t>t</w:t>
      </w:r>
      <w:r w:rsidRPr="002502C9">
        <w:rPr>
          <w:spacing w:val="-1"/>
        </w:rPr>
        <w:t>aba</w:t>
      </w:r>
      <w:r w:rsidRPr="002502C9">
        <w:t>se Tec</w:t>
      </w:r>
      <w:r w:rsidRPr="002502C9">
        <w:rPr>
          <w:spacing w:val="-1"/>
        </w:rPr>
        <w:t>hni</w:t>
      </w:r>
      <w:r w:rsidRPr="002502C9">
        <w:t>c</w:t>
      </w:r>
      <w:r w:rsidRPr="002502C9">
        <w:rPr>
          <w:spacing w:val="-1"/>
        </w:rPr>
        <w:t>a</w:t>
      </w:r>
      <w:r w:rsidRPr="002502C9">
        <w:t xml:space="preserve">l </w:t>
      </w:r>
      <w:r w:rsidRPr="002502C9">
        <w:rPr>
          <w:spacing w:val="-3"/>
        </w:rPr>
        <w:t>R</w:t>
      </w:r>
      <w:r w:rsidRPr="002502C9">
        <w:t>e</w:t>
      </w:r>
      <w:r w:rsidRPr="002502C9">
        <w:rPr>
          <w:spacing w:val="-1"/>
        </w:rPr>
        <w:t>f</w:t>
      </w:r>
      <w:r w:rsidRPr="002502C9">
        <w:t>e</w:t>
      </w:r>
      <w:r w:rsidRPr="002502C9">
        <w:rPr>
          <w:spacing w:val="-3"/>
        </w:rPr>
        <w:t>r</w:t>
      </w:r>
      <w:r w:rsidRPr="002502C9">
        <w:t>e</w:t>
      </w:r>
      <w:r w:rsidRPr="002502C9">
        <w:rPr>
          <w:spacing w:val="-1"/>
        </w:rPr>
        <w:t>n</w:t>
      </w:r>
      <w:r w:rsidRPr="002502C9">
        <w:t>ce</w:t>
      </w:r>
      <w:r w:rsidRPr="002502C9">
        <w:rPr>
          <w:spacing w:val="1"/>
        </w:rPr>
        <w:t xml:space="preserve"> </w:t>
      </w:r>
      <w:r w:rsidRPr="002502C9">
        <w:rPr>
          <w:spacing w:val="-1"/>
        </w:rPr>
        <w:t>an</w:t>
      </w:r>
      <w:r w:rsidRPr="002502C9">
        <w:t>d</w:t>
      </w:r>
      <w:r w:rsidRPr="002502C9">
        <w:rPr>
          <w:spacing w:val="-1"/>
        </w:rPr>
        <w:t xml:space="preserve"> al</w:t>
      </w:r>
      <w:r w:rsidRPr="002502C9">
        <w:t>l</w:t>
      </w:r>
      <w:r w:rsidRPr="002502C9">
        <w:rPr>
          <w:spacing w:val="-3"/>
        </w:rPr>
        <w:t xml:space="preserve"> errors</w:t>
      </w:r>
      <w:r w:rsidRPr="002502C9">
        <w:t xml:space="preserve"> were </w:t>
      </w:r>
      <w:r w:rsidRPr="002502C9">
        <w:rPr>
          <w:spacing w:val="-1"/>
        </w:rPr>
        <w:t>fi</w:t>
      </w:r>
      <w:r w:rsidRPr="002502C9">
        <w:rPr>
          <w:spacing w:val="-3"/>
        </w:rPr>
        <w:t>x</w:t>
      </w:r>
      <w:r w:rsidRPr="002502C9">
        <w:t>ed</w:t>
      </w:r>
      <w:r w:rsidRPr="002502C9">
        <w:rPr>
          <w:spacing w:val="-1"/>
        </w:rPr>
        <w:t xml:space="preserve"> </w:t>
      </w:r>
      <w:r w:rsidRPr="002502C9">
        <w:rPr>
          <w:spacing w:val="-3"/>
        </w:rPr>
        <w:t>f</w:t>
      </w:r>
      <w:r w:rsidRPr="002502C9">
        <w:rPr>
          <w:spacing w:val="1"/>
        </w:rPr>
        <w:t>o</w:t>
      </w:r>
      <w:r w:rsidRPr="002502C9">
        <w:t xml:space="preserve">r </w:t>
      </w:r>
      <w:r w:rsidRPr="002502C9">
        <w:rPr>
          <w:spacing w:val="-1"/>
        </w:rPr>
        <w:t>da</w:t>
      </w:r>
      <w:r w:rsidRPr="002502C9">
        <w:t>ta</w:t>
      </w:r>
      <w:r w:rsidRPr="002502C9">
        <w:rPr>
          <w:spacing w:val="-2"/>
        </w:rPr>
        <w:t xml:space="preserve"> </w:t>
      </w:r>
      <w:r w:rsidRPr="002502C9">
        <w:rPr>
          <w:spacing w:val="-1"/>
        </w:rPr>
        <w:t>in</w:t>
      </w:r>
      <w:r w:rsidRPr="002502C9">
        <w:t>te</w:t>
      </w:r>
      <w:r w:rsidRPr="002502C9">
        <w:rPr>
          <w:spacing w:val="-1"/>
        </w:rPr>
        <w:t>g</w:t>
      </w:r>
      <w:r w:rsidRPr="002502C9">
        <w:rPr>
          <w:spacing w:val="-3"/>
        </w:rPr>
        <w:t>r</w:t>
      </w:r>
      <w:r w:rsidRPr="002502C9">
        <w:rPr>
          <w:spacing w:val="-1"/>
        </w:rPr>
        <w:t>i</w:t>
      </w:r>
      <w:r w:rsidRPr="002502C9">
        <w:t>ty</w:t>
      </w:r>
      <w:r w:rsidRPr="002502C9">
        <w:rPr>
          <w:spacing w:val="1"/>
        </w:rPr>
        <w:t xml:space="preserve"> </w:t>
      </w:r>
      <w:r w:rsidRPr="002502C9">
        <w:rPr>
          <w:spacing w:val="-1"/>
        </w:rPr>
        <w:t>an</w:t>
      </w:r>
      <w:r w:rsidRPr="002502C9">
        <w:t>d</w:t>
      </w:r>
      <w:r w:rsidR="001D07A0">
        <w:t xml:space="preserve"> BLE</w:t>
      </w:r>
      <w:r w:rsidRPr="002502C9">
        <w:rPr>
          <w:spacing w:val="-1"/>
        </w:rPr>
        <w:t xml:space="preserve"> </w:t>
      </w:r>
      <w:r w:rsidRPr="002502C9">
        <w:t>sc</w:t>
      </w:r>
      <w:r w:rsidRPr="002502C9">
        <w:rPr>
          <w:spacing w:val="-4"/>
        </w:rPr>
        <w:t>h</w:t>
      </w:r>
      <w:r w:rsidRPr="002502C9">
        <w:t>e</w:t>
      </w:r>
      <w:r w:rsidRPr="002502C9">
        <w:rPr>
          <w:spacing w:val="-2"/>
        </w:rPr>
        <w:t>m</w:t>
      </w:r>
      <w:r w:rsidRPr="002502C9">
        <w:t xml:space="preserve">a </w:t>
      </w:r>
      <w:r w:rsidRPr="002502C9">
        <w:rPr>
          <w:spacing w:val="-1"/>
        </w:rPr>
        <w:t>agr</w:t>
      </w:r>
      <w:r w:rsidRPr="002502C9">
        <w:rPr>
          <w:spacing w:val="-2"/>
        </w:rPr>
        <w:t>e</w:t>
      </w:r>
      <w:r w:rsidRPr="002502C9">
        <w:t>e</w:t>
      </w:r>
      <w:r w:rsidRPr="002502C9">
        <w:rPr>
          <w:spacing w:val="-2"/>
        </w:rPr>
        <w:t>m</w:t>
      </w:r>
      <w:r w:rsidRPr="002502C9">
        <w:t>e</w:t>
      </w:r>
      <w:r w:rsidRPr="002502C9">
        <w:rPr>
          <w:spacing w:val="-1"/>
        </w:rPr>
        <w:t>n</w:t>
      </w:r>
      <w:r w:rsidRPr="002502C9">
        <w:t>t. The 10</w:t>
      </w:r>
      <w:r w:rsidR="005C72F6">
        <w:rPr>
          <w:rFonts w:cstheme="minorHAnsi"/>
        </w:rPr>
        <w:t>-percent</w:t>
      </w:r>
      <w:r w:rsidRPr="002502C9">
        <w:t xml:space="preserve"> boundaries have been included in the BLE TENPCT_FP feature class.</w:t>
      </w:r>
    </w:p>
    <w:p w14:paraId="13E3EA1F" w14:textId="50941333" w:rsidR="00D64D34" w:rsidRDefault="00D64D34" w:rsidP="00D64D34">
      <w:pPr>
        <w:pStyle w:val="Heading3"/>
      </w:pPr>
      <w:bookmarkStart w:id="288" w:name="_Toc112244143"/>
      <w:r>
        <w:t>Water Surface and Depth Grids</w:t>
      </w:r>
      <w:bookmarkEnd w:id="288"/>
    </w:p>
    <w:p w14:paraId="5BB158DA" w14:textId="2F74BE97" w:rsidR="00D64D34" w:rsidRPr="0072554E" w:rsidRDefault="00D64D34" w:rsidP="0072554E">
      <w:pPr>
        <w:pStyle w:val="BodyText"/>
      </w:pPr>
      <w:r w:rsidRPr="0072554E">
        <w:t>Once the final floodplain polygons were created, it is required that the depth and WSEL grids match the full extents</w:t>
      </w:r>
      <w:r w:rsidR="008A47D0" w:rsidRPr="0072554E">
        <w:t xml:space="preserve"> </w:t>
      </w:r>
      <w:r w:rsidRPr="0072554E">
        <w:t>of the flood inundation polygons.  Because of the processing of the floodplain polygon boundaries through the above mentioned steps, there are are</w:t>
      </w:r>
      <w:r w:rsidR="008A47D0" w:rsidRPr="0072554E">
        <w:t>a</w:t>
      </w:r>
      <w:r w:rsidRPr="0072554E">
        <w:t>s in the model produced raster grids that no longer match the polygons.  Final grids are interpolated for areas filled in with surrounding cell values and then clipped to the polygon extents to create the final water surface and depth grids for the 1</w:t>
      </w:r>
      <w:r w:rsidR="008A47D0" w:rsidRPr="0072554E">
        <w:t>-percent</w:t>
      </w:r>
      <w:r w:rsidRPr="0072554E">
        <w:t xml:space="preserve"> and 0.2</w:t>
      </w:r>
      <w:r w:rsidR="008A47D0" w:rsidRPr="0072554E">
        <w:t>-percent</w:t>
      </w:r>
      <w:r w:rsidRPr="0072554E">
        <w:t xml:space="preserve"> flood events.  </w:t>
      </w:r>
    </w:p>
    <w:p w14:paraId="45C82888" w14:textId="77777777" w:rsidR="00BA7A78" w:rsidRDefault="00BA7A78" w:rsidP="00E209B0">
      <w:pPr>
        <w:pStyle w:val="Heading3"/>
      </w:pPr>
      <w:bookmarkStart w:id="289" w:name="_Toc112244144"/>
      <w:r>
        <w:t>Additional 1-Percent Features</w:t>
      </w:r>
      <w:bookmarkEnd w:id="289"/>
    </w:p>
    <w:p w14:paraId="66840C69" w14:textId="77777777" w:rsidR="00785EB9" w:rsidRPr="004920BB" w:rsidRDefault="00785EB9" w:rsidP="00785EB9">
      <w:pPr>
        <w:pStyle w:val="BodyText"/>
      </w:pPr>
      <w:r w:rsidRPr="00DD54B5">
        <w:t>The BLE results for this study produced a SFHA that compares favorably with the effective SFHA. These boundaries provide an estimated SFHA in areas that have not been previously studied and therefore do not currently have an SFHA mapped.  These results provide context for flood risk communication as part of the Discovery process, and should be verified through community work map meetings before being applied to a regulatory product.</w:t>
      </w:r>
    </w:p>
    <w:p w14:paraId="72DCF474" w14:textId="7A0472C6" w:rsidR="00785EB9" w:rsidRPr="0047525A" w:rsidRDefault="00785EB9" w:rsidP="00785EB9">
      <w:pPr>
        <w:pStyle w:val="BodyText"/>
      </w:pPr>
      <w:r w:rsidRPr="00FE74FB">
        <w:t xml:space="preserve">A map showing the </w:t>
      </w:r>
      <w:r w:rsidR="00D64D34">
        <w:t>1</w:t>
      </w:r>
      <w:r w:rsidR="008A47D0">
        <w:t>-percent</w:t>
      </w:r>
      <w:r w:rsidR="00D64D34">
        <w:t xml:space="preserve"> </w:t>
      </w:r>
      <w:r w:rsidRPr="00FE74FB">
        <w:t xml:space="preserve">BLE results is included as </w:t>
      </w:r>
      <w:r w:rsidR="0034474B">
        <w:t>Appendix A</w:t>
      </w:r>
      <w:r w:rsidR="006F3E73">
        <w:t xml:space="preserve"> BLE Map</w:t>
      </w:r>
      <w:r w:rsidRPr="00FE74FB">
        <w:t>.</w:t>
      </w:r>
    </w:p>
    <w:p w14:paraId="60738688" w14:textId="4AFD0BA3" w:rsidR="00E209B0" w:rsidRDefault="00E209B0" w:rsidP="00E209B0">
      <w:pPr>
        <w:pStyle w:val="Heading2"/>
      </w:pPr>
      <w:bookmarkStart w:id="290" w:name="_Toc112244145"/>
      <w:r>
        <w:t>Validation of Effective Zone A SFHA</w:t>
      </w:r>
      <w:bookmarkEnd w:id="290"/>
      <w:r>
        <w:t xml:space="preserve"> </w:t>
      </w:r>
    </w:p>
    <w:p w14:paraId="435FFB6B" w14:textId="180C6412" w:rsidR="00785EB9" w:rsidRPr="00C31A63" w:rsidRDefault="00232CA6" w:rsidP="00785EB9">
      <w:pPr>
        <w:pStyle w:val="BodyText"/>
      </w:pPr>
      <w:r w:rsidRPr="00BC2ECD">
        <w:t xml:space="preserve">The inventory of Zone A </w:t>
      </w:r>
      <w:r w:rsidRPr="004A0415">
        <w:t xml:space="preserve">studies (333.8 miles) in the Cowhouse </w:t>
      </w:r>
      <w:r w:rsidR="00546FFF">
        <w:t>w</w:t>
      </w:r>
      <w:r w:rsidRPr="004A0415">
        <w:t>atershed were classified in CNMS with validation status of “UNVERIFIED” (</w:t>
      </w:r>
      <w:r w:rsidR="004A0415" w:rsidRPr="004A0415">
        <w:t>15.</w:t>
      </w:r>
      <w:r w:rsidR="00561DFC">
        <w:t>3</w:t>
      </w:r>
      <w:r w:rsidR="004A0415" w:rsidRPr="004A0415">
        <w:t xml:space="preserve"> miles</w:t>
      </w:r>
      <w:r w:rsidRPr="004A0415">
        <w:t>) or “VALID” (3</w:t>
      </w:r>
      <w:r w:rsidR="004A0415" w:rsidRPr="004A0415">
        <w:t>18.</w:t>
      </w:r>
      <w:r w:rsidR="00561DFC">
        <w:t>5</w:t>
      </w:r>
      <w:r w:rsidRPr="004A0415">
        <w:t xml:space="preserve"> miles),</w:t>
      </w:r>
      <w:r>
        <w:t xml:space="preserve"> </w:t>
      </w:r>
      <w:r w:rsidRPr="00B04E77">
        <w:t xml:space="preserve">and </w:t>
      </w:r>
      <w:r w:rsidRPr="00BC2ECD">
        <w:t>with status type of “BEING STUDIED.” The following is a summary of the results of the CNMS validation assessment for the effective Zone A studies in the study area. Initial Assessment checks A1-A3 were evaluated for the CNMS inventory of Zone A studies.</w:t>
      </w:r>
    </w:p>
    <w:p w14:paraId="68B44C32" w14:textId="5BF61E63" w:rsidR="00E209B0" w:rsidRPr="00303A86" w:rsidRDefault="00E209B0" w:rsidP="00E209B0">
      <w:pPr>
        <w:pStyle w:val="Heading3"/>
      </w:pPr>
      <w:bookmarkStart w:id="291" w:name="_Toc112244146"/>
      <w:r w:rsidRPr="00303A86">
        <w:t>Intial Assessment A1 – Significant Topography Update Check</w:t>
      </w:r>
      <w:bookmarkEnd w:id="291"/>
      <w:r w:rsidRPr="00303A86">
        <w:t xml:space="preserve"> </w:t>
      </w:r>
    </w:p>
    <w:p w14:paraId="7CD79988" w14:textId="6AAA9028" w:rsidR="00232CA6" w:rsidRPr="00496203" w:rsidRDefault="00232CA6" w:rsidP="0072554E">
      <w:pPr>
        <w:pStyle w:val="BodyText"/>
      </w:pPr>
      <w:bookmarkStart w:id="292" w:name="_Toc478072916"/>
      <w:bookmarkStart w:id="293" w:name="_Toc51846045"/>
      <w:r w:rsidRPr="00496203">
        <w:t>This check involves determining whether a topographic data source is available that is significantly better than what was used for the effective Zone A modeling and mapping.</w:t>
      </w:r>
      <w:r w:rsidRPr="00496203" w:rsidDel="001F6536">
        <w:t xml:space="preserve"> </w:t>
      </w:r>
      <w:r w:rsidRPr="00496203">
        <w:t xml:space="preserve"> For the study area within Cowhouse </w:t>
      </w:r>
      <w:r w:rsidR="00546FFF">
        <w:t>w</w:t>
      </w:r>
      <w:r w:rsidRPr="00496203">
        <w:t xml:space="preserve">atershed, LiDAR sources were not used for the effective study.  LiDAR sources are now available in this area and are considered significant improvements from the effective zone A topographic sources. Therefore, all reaches within this watershed fail this check. </w:t>
      </w:r>
    </w:p>
    <w:p w14:paraId="47D04580" w14:textId="77777777" w:rsidR="00E209B0" w:rsidRPr="00303A86" w:rsidRDefault="00E209B0" w:rsidP="00E209B0">
      <w:pPr>
        <w:pStyle w:val="Heading3"/>
      </w:pPr>
      <w:bookmarkStart w:id="294" w:name="_Toc112244147"/>
      <w:r w:rsidRPr="00303A86">
        <w:t>Initial Assessment A2 – Check for Significant Hydrology Changes</w:t>
      </w:r>
      <w:bookmarkEnd w:id="292"/>
      <w:bookmarkEnd w:id="293"/>
      <w:bookmarkEnd w:id="294"/>
    </w:p>
    <w:p w14:paraId="693665E7" w14:textId="77777777" w:rsidR="00496203" w:rsidRPr="00496203" w:rsidRDefault="00496203" w:rsidP="0072554E">
      <w:pPr>
        <w:pStyle w:val="BodyText"/>
      </w:pPr>
      <w:r w:rsidRPr="00496203">
        <w:t>This check involves first determining if regression equations were used for the effective study. Next, it must be determined whether new regression equations have become available from the USGS since the date of the effective Zone A study.  If newer regression equations exist for the area of interest, then an engineer must determine whether these regression equations would significantly affect the 1-percent annual chance flow.</w:t>
      </w:r>
    </w:p>
    <w:p w14:paraId="54F9D338" w14:textId="249F24D2" w:rsidR="0072554E" w:rsidRDefault="00496203" w:rsidP="0072554E">
      <w:pPr>
        <w:pStyle w:val="BodyText"/>
      </w:pPr>
      <w:r w:rsidRPr="00496203">
        <w:t xml:space="preserve">For all Zone A streams within Cowhouse </w:t>
      </w:r>
      <w:r w:rsidR="008A47D0">
        <w:t>w</w:t>
      </w:r>
      <w:r w:rsidRPr="00496203">
        <w:t>atershed, regression equations are not known to have been used for any effective studies and, therefore, automatica</w:t>
      </w:r>
      <w:r w:rsidR="00900FC9">
        <w:t>lly pass this assessment check.</w:t>
      </w:r>
      <w:r w:rsidR="0072554E">
        <w:br w:type="page"/>
      </w:r>
    </w:p>
    <w:p w14:paraId="4FC2B331" w14:textId="77777777" w:rsidR="00E209B0" w:rsidRPr="00303A86" w:rsidRDefault="00E209B0" w:rsidP="00E209B0">
      <w:pPr>
        <w:pStyle w:val="Heading3"/>
      </w:pPr>
      <w:bookmarkStart w:id="295" w:name="_Toc478072917"/>
      <w:bookmarkStart w:id="296" w:name="_Toc51846046"/>
      <w:bookmarkStart w:id="297" w:name="_Toc112244148"/>
      <w:r w:rsidRPr="00303A86">
        <w:lastRenderedPageBreak/>
        <w:t>Initial Assessment A3 – Check for Significant Development</w:t>
      </w:r>
      <w:bookmarkEnd w:id="295"/>
      <w:bookmarkEnd w:id="296"/>
      <w:bookmarkEnd w:id="297"/>
    </w:p>
    <w:p w14:paraId="3E699E8C" w14:textId="77777777" w:rsidR="00496203" w:rsidRPr="00496203" w:rsidRDefault="00496203" w:rsidP="0072554E">
      <w:pPr>
        <w:pStyle w:val="BodyText"/>
      </w:pPr>
      <w:r w:rsidRPr="00496203">
        <w:t>This check involves using the National Urban Change Indicator (NUCI) dataset to assess increased urbanization in the watershed of the Zone A study.  If the percentage of urban area within the HUC-12 watershed containing the effective Zone A study is 15% or more, and has increased by 50% or more since the effective analysis, the study would fail this check.  Although the NUCI data provide year-to-year changes in urbanization, the NLCD also is needed to establish a baseline of urban land cover for this analysis.  The check for significant development in this watershed was completed by evaluating percentage of urban change at the HUC-12 level.  Some Zone A studies in Coryell County are urbanized watersheds that have experienced a significant increase in urban area since the effective study. Therefore, these reaches failed this check. All other effective studies in the CowhouseHUC-8 are in rural watersheds and pass this check.</w:t>
      </w:r>
    </w:p>
    <w:p w14:paraId="738EA9DF" w14:textId="310A3940" w:rsidR="00A70D4A" w:rsidRPr="00C31A63" w:rsidRDefault="00496203" w:rsidP="0072554E">
      <w:pPr>
        <w:pStyle w:val="BodyText"/>
        <w:rPr>
          <w:highlight w:val="yellow"/>
        </w:rPr>
      </w:pPr>
      <w:r w:rsidRPr="00ED1F79">
        <w:t>All of the initial assessment results are shown in</w:t>
      </w:r>
      <w:r w:rsidR="00DD00E6" w:rsidRPr="00B17393">
        <w:t xml:space="preserve"> </w:t>
      </w:r>
      <w:r w:rsidR="00DD00E6" w:rsidRPr="00B17393">
        <w:fldChar w:fldCharType="begin"/>
      </w:r>
      <w:r w:rsidR="00DD00E6" w:rsidRPr="00B17393">
        <w:instrText xml:space="preserve"> REF _Ref80116333 \h </w:instrText>
      </w:r>
      <w:r w:rsidR="00C31A63" w:rsidRPr="00B17393">
        <w:instrText xml:space="preserve"> \* MERGEFORMAT </w:instrText>
      </w:r>
      <w:r w:rsidR="00DD00E6" w:rsidRPr="00B17393">
        <w:fldChar w:fldCharType="separate"/>
      </w:r>
      <w:r w:rsidR="007D7CA7" w:rsidRPr="00B17393">
        <w:t xml:space="preserve">Table </w:t>
      </w:r>
      <w:r w:rsidR="007D7CA7">
        <w:rPr>
          <w:noProof/>
        </w:rPr>
        <w:t>14</w:t>
      </w:r>
      <w:r w:rsidR="00DD00E6" w:rsidRPr="00B17393">
        <w:fldChar w:fldCharType="end"/>
      </w:r>
      <w:r w:rsidR="00DD00E6" w:rsidRPr="00B17393">
        <w:t>.</w:t>
      </w:r>
    </w:p>
    <w:p w14:paraId="72CC82F2" w14:textId="77AD9C8A" w:rsidR="00785EB9" w:rsidRPr="00B17393" w:rsidRDefault="00785EB9" w:rsidP="00785EB9">
      <w:pPr>
        <w:pStyle w:val="Caption"/>
        <w:jc w:val="center"/>
      </w:pPr>
      <w:bookmarkStart w:id="298" w:name="_Ref80116333"/>
      <w:bookmarkStart w:id="299" w:name="_Ref80116324"/>
      <w:bookmarkStart w:id="300" w:name="_Toc112244177"/>
      <w:r w:rsidRPr="00B17393">
        <w:t xml:space="preserve">Table </w:t>
      </w:r>
      <w:r w:rsidRPr="00B17393">
        <w:fldChar w:fldCharType="begin"/>
      </w:r>
      <w:r w:rsidRPr="00B17393">
        <w:instrText xml:space="preserve"> SEQ Table \* ARABIC </w:instrText>
      </w:r>
      <w:r w:rsidRPr="00B17393">
        <w:fldChar w:fldCharType="separate"/>
      </w:r>
      <w:r w:rsidR="007D7CA7">
        <w:rPr>
          <w:noProof/>
        </w:rPr>
        <w:t>14</w:t>
      </w:r>
      <w:r w:rsidRPr="00B17393">
        <w:fldChar w:fldCharType="end"/>
      </w:r>
      <w:bookmarkEnd w:id="298"/>
      <w:r w:rsidRPr="00B17393">
        <w:t>: Zone A Initial Assessment Results</w:t>
      </w:r>
      <w:bookmarkEnd w:id="299"/>
      <w:bookmarkEnd w:id="300"/>
    </w:p>
    <w:tbl>
      <w:tblPr>
        <w:tblStyle w:val="CompassTable"/>
        <w:tblW w:w="9072" w:type="dxa"/>
        <w:tblLook w:val="04A0" w:firstRow="1" w:lastRow="0" w:firstColumn="1" w:lastColumn="0" w:noHBand="0" w:noVBand="1"/>
      </w:tblPr>
      <w:tblGrid>
        <w:gridCol w:w="2160"/>
        <w:gridCol w:w="1296"/>
        <w:gridCol w:w="5616"/>
      </w:tblGrid>
      <w:tr w:rsidR="00785EB9" w:rsidRPr="00C31A63" w14:paraId="0A2436B6" w14:textId="77777777" w:rsidTr="00BC6495">
        <w:trPr>
          <w:cnfStyle w:val="100000000000" w:firstRow="1" w:lastRow="0" w:firstColumn="0" w:lastColumn="0" w:oddVBand="0" w:evenVBand="0" w:oddHBand="0" w:evenHBand="0" w:firstRowFirstColumn="0" w:firstRowLastColumn="0" w:lastRowFirstColumn="0" w:lastRowLastColumn="0"/>
          <w:trHeight w:val="432"/>
        </w:trPr>
        <w:tc>
          <w:tcPr>
            <w:tcW w:w="2160" w:type="dxa"/>
            <w:shd w:val="clear" w:color="auto" w:fill="00B5E2" w:themeFill="accent1"/>
          </w:tcPr>
          <w:p w14:paraId="75319FBF" w14:textId="77777777" w:rsidR="00785EB9" w:rsidRPr="00B17393" w:rsidRDefault="00785EB9" w:rsidP="000F61F0">
            <w:pPr>
              <w:keepNext/>
              <w:jc w:val="center"/>
              <w:rPr>
                <w:rFonts w:eastAsia="Times New Roman" w:cs="Times New Roman"/>
              </w:rPr>
            </w:pPr>
            <w:r w:rsidRPr="00B17393">
              <w:rPr>
                <w:rFonts w:eastAsia="Times New Roman" w:cs="Times New Roman"/>
              </w:rPr>
              <w:t>Assessment Check</w:t>
            </w:r>
          </w:p>
        </w:tc>
        <w:tc>
          <w:tcPr>
            <w:tcW w:w="1296" w:type="dxa"/>
            <w:shd w:val="clear" w:color="auto" w:fill="00B5E2" w:themeFill="accent1"/>
          </w:tcPr>
          <w:p w14:paraId="0BCA60F2" w14:textId="77777777" w:rsidR="00785EB9" w:rsidRPr="00B17393" w:rsidRDefault="00785EB9" w:rsidP="000F61F0">
            <w:pPr>
              <w:keepNext/>
              <w:jc w:val="center"/>
              <w:rPr>
                <w:rFonts w:eastAsia="Times New Roman" w:cs="Times New Roman"/>
              </w:rPr>
            </w:pPr>
            <w:r w:rsidRPr="00B17393">
              <w:rPr>
                <w:rFonts w:eastAsia="Times New Roman" w:cs="Times New Roman"/>
              </w:rPr>
              <w:t>Pass / Fail</w:t>
            </w:r>
          </w:p>
        </w:tc>
        <w:tc>
          <w:tcPr>
            <w:tcW w:w="5616" w:type="dxa"/>
            <w:shd w:val="clear" w:color="auto" w:fill="00B5E2" w:themeFill="accent1"/>
          </w:tcPr>
          <w:p w14:paraId="6DF5CF72" w14:textId="77777777" w:rsidR="00785EB9" w:rsidRPr="00B17393" w:rsidRDefault="00785EB9" w:rsidP="000F61F0">
            <w:pPr>
              <w:keepNext/>
              <w:jc w:val="center"/>
              <w:rPr>
                <w:rFonts w:eastAsia="Times New Roman" w:cs="Times New Roman"/>
              </w:rPr>
            </w:pPr>
            <w:r w:rsidRPr="00B17393">
              <w:rPr>
                <w:rFonts w:eastAsia="Times New Roman" w:cs="Times New Roman"/>
              </w:rPr>
              <w:t>Notes</w:t>
            </w:r>
          </w:p>
        </w:tc>
      </w:tr>
      <w:tr w:rsidR="00785EB9" w:rsidRPr="00C31A63" w14:paraId="03C21881" w14:textId="77777777" w:rsidTr="000F61F0">
        <w:trPr>
          <w:cnfStyle w:val="000000100000" w:firstRow="0" w:lastRow="0" w:firstColumn="0" w:lastColumn="0" w:oddVBand="0" w:evenVBand="0" w:oddHBand="1" w:evenHBand="0" w:firstRowFirstColumn="0" w:firstRowLastColumn="0" w:lastRowFirstColumn="0" w:lastRowLastColumn="0"/>
          <w:cantSplit/>
          <w:trHeight w:val="432"/>
        </w:trPr>
        <w:tc>
          <w:tcPr>
            <w:tcW w:w="2160" w:type="dxa"/>
          </w:tcPr>
          <w:p w14:paraId="2A53A5FB" w14:textId="77777777" w:rsidR="00785EB9" w:rsidRPr="00B17393" w:rsidRDefault="00785EB9" w:rsidP="000F61F0">
            <w:pPr>
              <w:rPr>
                <w:rFonts w:eastAsia="Times New Roman" w:cs="Times New Roman"/>
                <w:szCs w:val="20"/>
              </w:rPr>
            </w:pPr>
            <w:r w:rsidRPr="00B17393">
              <w:rPr>
                <w:rFonts w:eastAsia="Times New Roman" w:cs="Times New Roman"/>
                <w:szCs w:val="20"/>
              </w:rPr>
              <w:t>A1 – Topography</w:t>
            </w:r>
          </w:p>
        </w:tc>
        <w:tc>
          <w:tcPr>
            <w:tcW w:w="1296" w:type="dxa"/>
          </w:tcPr>
          <w:p w14:paraId="66135B0F" w14:textId="7988E1DD" w:rsidR="00785EB9" w:rsidRPr="008A47D0" w:rsidRDefault="00496203" w:rsidP="00496203">
            <w:pPr>
              <w:rPr>
                <w:rFonts w:eastAsia="Times New Roman" w:cs="Times New Roman"/>
                <w:szCs w:val="20"/>
              </w:rPr>
            </w:pPr>
            <w:r w:rsidRPr="008A47D0">
              <w:rPr>
                <w:rFonts w:eastAsia="Times New Roman" w:cs="Times New Roman"/>
                <w:szCs w:val="20"/>
              </w:rPr>
              <w:t>Fail</w:t>
            </w:r>
          </w:p>
        </w:tc>
        <w:tc>
          <w:tcPr>
            <w:tcW w:w="5616" w:type="dxa"/>
          </w:tcPr>
          <w:p w14:paraId="0F99363A" w14:textId="17BADFAE" w:rsidR="00785EB9" w:rsidRPr="008A47D0" w:rsidRDefault="00496203" w:rsidP="000F61F0">
            <w:pPr>
              <w:rPr>
                <w:rFonts w:eastAsia="Times New Roman" w:cs="Times New Roman"/>
                <w:szCs w:val="20"/>
              </w:rPr>
            </w:pPr>
            <w:r w:rsidRPr="008A47D0">
              <w:rPr>
                <w:rFonts w:eastAsia="Times New Roman" w:cs="Times New Roman"/>
                <w:szCs w:val="20"/>
              </w:rPr>
              <w:t xml:space="preserve">Effective study did not utilize LiDAR sources and LiDAR is available  </w:t>
            </w:r>
          </w:p>
        </w:tc>
      </w:tr>
      <w:tr w:rsidR="00785EB9" w:rsidRPr="00C31A63" w14:paraId="0E55361D" w14:textId="77777777" w:rsidTr="000F61F0">
        <w:trPr>
          <w:cnfStyle w:val="000000010000" w:firstRow="0" w:lastRow="0" w:firstColumn="0" w:lastColumn="0" w:oddVBand="0" w:evenVBand="0" w:oddHBand="0" w:evenHBand="1" w:firstRowFirstColumn="0" w:firstRowLastColumn="0" w:lastRowFirstColumn="0" w:lastRowLastColumn="0"/>
          <w:cantSplit/>
          <w:trHeight w:val="432"/>
        </w:trPr>
        <w:tc>
          <w:tcPr>
            <w:tcW w:w="2160" w:type="dxa"/>
          </w:tcPr>
          <w:p w14:paraId="4832C0A3" w14:textId="77777777" w:rsidR="00785EB9" w:rsidRPr="00B17393" w:rsidRDefault="00785EB9" w:rsidP="000F61F0">
            <w:pPr>
              <w:rPr>
                <w:rFonts w:eastAsia="Times New Roman" w:cs="Times New Roman"/>
                <w:szCs w:val="20"/>
              </w:rPr>
            </w:pPr>
            <w:r w:rsidRPr="00B17393">
              <w:rPr>
                <w:rFonts w:eastAsia="Times New Roman" w:cs="Times New Roman"/>
                <w:szCs w:val="20"/>
              </w:rPr>
              <w:t>A2 – Hydrology</w:t>
            </w:r>
          </w:p>
        </w:tc>
        <w:tc>
          <w:tcPr>
            <w:tcW w:w="1296" w:type="dxa"/>
          </w:tcPr>
          <w:p w14:paraId="5E151AC2" w14:textId="134DC6E3" w:rsidR="00785EB9" w:rsidRPr="008A47D0" w:rsidRDefault="00785EB9" w:rsidP="00496203">
            <w:pPr>
              <w:rPr>
                <w:rFonts w:eastAsia="Times New Roman" w:cs="Times New Roman"/>
                <w:szCs w:val="20"/>
              </w:rPr>
            </w:pPr>
            <w:r w:rsidRPr="008A47D0">
              <w:rPr>
                <w:rFonts w:eastAsia="Times New Roman" w:cs="Times New Roman"/>
                <w:szCs w:val="20"/>
              </w:rPr>
              <w:t xml:space="preserve">Pass </w:t>
            </w:r>
          </w:p>
        </w:tc>
        <w:tc>
          <w:tcPr>
            <w:tcW w:w="5616" w:type="dxa"/>
          </w:tcPr>
          <w:p w14:paraId="6AB073BE" w14:textId="249B2C14" w:rsidR="00785EB9" w:rsidRPr="008A47D0" w:rsidRDefault="00496203" w:rsidP="000F61F0">
            <w:pPr>
              <w:pStyle w:val="2Body-Text"/>
              <w:rPr>
                <w:color w:val="FF0000"/>
                <w:sz w:val="20"/>
                <w:szCs w:val="20"/>
              </w:rPr>
            </w:pPr>
            <w:r w:rsidRPr="008A47D0">
              <w:rPr>
                <w:color w:val="auto"/>
                <w:sz w:val="20"/>
                <w:szCs w:val="20"/>
              </w:rPr>
              <w:t>Regression equations not used in effective study</w:t>
            </w:r>
          </w:p>
        </w:tc>
      </w:tr>
      <w:tr w:rsidR="00785EB9" w:rsidRPr="00C31A63" w14:paraId="36338150" w14:textId="77777777" w:rsidTr="000F61F0">
        <w:trPr>
          <w:cnfStyle w:val="000000100000" w:firstRow="0" w:lastRow="0" w:firstColumn="0" w:lastColumn="0" w:oddVBand="0" w:evenVBand="0" w:oddHBand="1" w:evenHBand="0" w:firstRowFirstColumn="0" w:firstRowLastColumn="0" w:lastRowFirstColumn="0" w:lastRowLastColumn="0"/>
          <w:cantSplit/>
          <w:trHeight w:val="432"/>
        </w:trPr>
        <w:tc>
          <w:tcPr>
            <w:tcW w:w="2160" w:type="dxa"/>
          </w:tcPr>
          <w:p w14:paraId="7609B433" w14:textId="77777777" w:rsidR="00785EB9" w:rsidRPr="00B17393" w:rsidRDefault="00785EB9" w:rsidP="000F61F0">
            <w:pPr>
              <w:rPr>
                <w:rFonts w:eastAsia="Times New Roman" w:cs="Times New Roman"/>
                <w:szCs w:val="20"/>
              </w:rPr>
            </w:pPr>
            <w:r w:rsidRPr="00B17393">
              <w:rPr>
                <w:rFonts w:eastAsia="Times New Roman" w:cs="Times New Roman"/>
                <w:szCs w:val="20"/>
              </w:rPr>
              <w:t>A3 – Development</w:t>
            </w:r>
          </w:p>
        </w:tc>
        <w:tc>
          <w:tcPr>
            <w:tcW w:w="1296" w:type="dxa"/>
          </w:tcPr>
          <w:p w14:paraId="6D52F52C" w14:textId="43390548" w:rsidR="00785EB9" w:rsidRPr="00B17393" w:rsidRDefault="00785EB9" w:rsidP="00B17393">
            <w:pPr>
              <w:rPr>
                <w:rFonts w:eastAsia="Times New Roman" w:cs="Times New Roman"/>
                <w:szCs w:val="20"/>
              </w:rPr>
            </w:pPr>
            <w:r w:rsidRPr="00B17393">
              <w:rPr>
                <w:rFonts w:eastAsia="Times New Roman" w:cs="Times New Roman"/>
                <w:szCs w:val="20"/>
              </w:rPr>
              <w:t>P</w:t>
            </w:r>
            <w:r w:rsidR="00496203">
              <w:rPr>
                <w:rFonts w:eastAsia="Times New Roman" w:cs="Times New Roman"/>
                <w:szCs w:val="20"/>
              </w:rPr>
              <w:t>ass/Fail</w:t>
            </w:r>
          </w:p>
        </w:tc>
        <w:tc>
          <w:tcPr>
            <w:tcW w:w="5616" w:type="dxa"/>
          </w:tcPr>
          <w:p w14:paraId="2294815D" w14:textId="06C9C2B3" w:rsidR="00785EB9" w:rsidRPr="00B17393" w:rsidRDefault="00496203" w:rsidP="000F61F0">
            <w:pPr>
              <w:rPr>
                <w:rFonts w:ascii="Arial" w:eastAsia="Times New Roman" w:hAnsi="Arial" w:cs="Times New Roman"/>
                <w:color w:val="FF0000"/>
                <w:szCs w:val="20"/>
              </w:rPr>
            </w:pPr>
            <w:r w:rsidRPr="00AD047A">
              <w:rPr>
                <w:rFonts w:eastAsia="Times New Roman" w:cs="Times New Roman"/>
                <w:color w:val="auto"/>
                <w:szCs w:val="20"/>
              </w:rPr>
              <w:t>Watershed does not meet urban threshold/Urban watershed has experienced significant increase in urban area</w:t>
            </w:r>
          </w:p>
        </w:tc>
      </w:tr>
    </w:tbl>
    <w:p w14:paraId="483DD9EC" w14:textId="77777777" w:rsidR="00785EB9" w:rsidRPr="00C31A63" w:rsidRDefault="00785EB9" w:rsidP="00785EB9">
      <w:pPr>
        <w:pStyle w:val="BodyText"/>
        <w:rPr>
          <w:highlight w:val="yellow"/>
        </w:rPr>
      </w:pPr>
    </w:p>
    <w:p w14:paraId="5A4FF4BD" w14:textId="454AA3B4" w:rsidR="00E209B0" w:rsidRDefault="00E209B0" w:rsidP="00E209B0">
      <w:pPr>
        <w:pStyle w:val="Heading3"/>
      </w:pPr>
      <w:bookmarkStart w:id="301" w:name="_Toc478072918"/>
      <w:bookmarkStart w:id="302" w:name="_Toc51846047"/>
      <w:bookmarkStart w:id="303" w:name="_Toc112244149"/>
      <w:r w:rsidRPr="00B17393">
        <w:t>Validation Check A4 – Check of Studies Backed by Technical Data</w:t>
      </w:r>
      <w:bookmarkEnd w:id="301"/>
      <w:bookmarkEnd w:id="302"/>
      <w:bookmarkEnd w:id="303"/>
    </w:p>
    <w:p w14:paraId="2A9375EB" w14:textId="33EAA4EB" w:rsidR="00496203" w:rsidRPr="00496203" w:rsidRDefault="00496203" w:rsidP="00496203">
      <w:pPr>
        <w:pStyle w:val="BodyText"/>
      </w:pPr>
      <w:r w:rsidRPr="00496203">
        <w:t xml:space="preserve">Zone A studies that pass all initial assessment checks described above may be categorized as “Valid” in the CNMS Inventory only if the effective Zone A study is supported by modeling or sound engineering judgment and all regulatory products are in agreement.  If the effective Zone A study passes all initial assessment checks, but is not supported by modeling, or if the original engineering method used is unsupported or undocumented, a comparison of the BLE results and effective Zone A’s is performed.  All streams in the Cowhouse HUC-8 are not known to be model-backed and fail this check.   </w:t>
      </w:r>
    </w:p>
    <w:p w14:paraId="4E0A0901" w14:textId="6FD71D7F" w:rsidR="00BA7A78" w:rsidRPr="00DC368E" w:rsidRDefault="00DC368E" w:rsidP="00E209B0">
      <w:pPr>
        <w:pStyle w:val="Heading3"/>
      </w:pPr>
      <w:bookmarkStart w:id="304" w:name="_Toc112244150"/>
      <w:r w:rsidRPr="001F4E43">
        <w:t>Validation Check A5 – Comparison of BLE and Effective Zone A</w:t>
      </w:r>
      <w:bookmarkEnd w:id="304"/>
      <w:r w:rsidRPr="00DC368E">
        <w:t xml:space="preserve"> </w:t>
      </w:r>
    </w:p>
    <w:p w14:paraId="209611E3" w14:textId="77777777" w:rsidR="00DC368E" w:rsidRPr="00DC368E" w:rsidRDefault="00DC368E" w:rsidP="00DC368E">
      <w:pPr>
        <w:pStyle w:val="BodyText"/>
        <w:rPr>
          <w:rFonts w:eastAsia="Times New Roman"/>
          <w:szCs w:val="26"/>
        </w:rPr>
      </w:pPr>
      <w:r w:rsidRPr="00DC368E">
        <w:rPr>
          <w:rFonts w:eastAsia="Times New Roman"/>
          <w:szCs w:val="26"/>
        </w:rPr>
        <w:t>The BLE /effective Zone A comparison method leverages the existing Floodplain Boundary Standard (FBS) certification procedures described in FEMA SID 113, but with a slight modification.  This modified FBS comparison approach uses the 1-percent plus and 1-percent minus flood profiles and horizontal and vertical tolerances described in FEMA’s Automated Engineering guidance document dated May 2016. For the comparison of BLE and effective Zone A in the Texas study area, the following vertical and horizontal tolerances were used to conduct the modified FBS procedure. One point was placed every 200 feet along the floodplain boundaries for comparison.</w:t>
      </w:r>
    </w:p>
    <w:p w14:paraId="3838F14E" w14:textId="589EFA03" w:rsidR="00DC368E" w:rsidRPr="00DC368E" w:rsidRDefault="00DC368E" w:rsidP="00DC368E">
      <w:pPr>
        <w:pStyle w:val="BodyText"/>
        <w:numPr>
          <w:ilvl w:val="0"/>
          <w:numId w:val="33"/>
        </w:numPr>
        <w:rPr>
          <w:rFonts w:eastAsia="Times New Roman"/>
          <w:szCs w:val="26"/>
        </w:rPr>
      </w:pPr>
      <w:r w:rsidRPr="00DC368E">
        <w:rPr>
          <w:rFonts w:eastAsia="Times New Roman"/>
          <w:szCs w:val="26"/>
        </w:rPr>
        <w:t xml:space="preserve">Vertical Tolerance:  +/- </w:t>
      </w:r>
      <w:r w:rsidR="004A0415">
        <w:rPr>
          <w:rFonts w:eastAsia="Times New Roman"/>
          <w:szCs w:val="26"/>
        </w:rPr>
        <w:t>10</w:t>
      </w:r>
      <w:r w:rsidRPr="00DC368E">
        <w:rPr>
          <w:rFonts w:eastAsia="Times New Roman"/>
          <w:szCs w:val="26"/>
        </w:rPr>
        <w:t xml:space="preserve"> feet (one-half contour interval of effective topographic source).</w:t>
      </w:r>
    </w:p>
    <w:p w14:paraId="7B8E0DE1" w14:textId="7CA29B6F" w:rsidR="00DC368E" w:rsidRPr="00DC368E" w:rsidRDefault="00DC368E" w:rsidP="00DC368E">
      <w:pPr>
        <w:pStyle w:val="BodyText"/>
        <w:numPr>
          <w:ilvl w:val="0"/>
          <w:numId w:val="33"/>
        </w:numPr>
        <w:rPr>
          <w:rFonts w:eastAsia="Times New Roman"/>
          <w:szCs w:val="26"/>
        </w:rPr>
      </w:pPr>
      <w:r w:rsidRPr="00DC368E">
        <w:rPr>
          <w:rFonts w:eastAsia="Times New Roman"/>
          <w:szCs w:val="26"/>
        </w:rPr>
        <w:t>Horizontal Tolerance:  +/- 75 feet (standard horizontal tolerance for BLE comparison testing).</w:t>
      </w:r>
    </w:p>
    <w:p w14:paraId="41641FA9" w14:textId="129D8001" w:rsidR="00DB3CFE" w:rsidRDefault="00DC368E" w:rsidP="00DC368E">
      <w:pPr>
        <w:pStyle w:val="BodyText"/>
        <w:rPr>
          <w:rFonts w:eastAsia="Times New Roman"/>
          <w:szCs w:val="26"/>
        </w:rPr>
      </w:pPr>
      <w:r w:rsidRPr="00DC368E">
        <w:rPr>
          <w:rFonts w:eastAsia="Times New Roman"/>
          <w:szCs w:val="26"/>
        </w:rPr>
        <w:t xml:space="preserve">Comparison results for thse streams were grouped at the HUC-12 level and are summarized in </w:t>
      </w:r>
      <w:r w:rsidR="007E3CB5">
        <w:rPr>
          <w:rFonts w:eastAsia="Times New Roman"/>
          <w:szCs w:val="26"/>
        </w:rPr>
        <w:fldChar w:fldCharType="begin"/>
      </w:r>
      <w:r w:rsidR="007E3CB5">
        <w:rPr>
          <w:rFonts w:eastAsia="Times New Roman"/>
          <w:szCs w:val="26"/>
        </w:rPr>
        <w:instrText xml:space="preserve"> REF _Ref495418479 \h </w:instrText>
      </w:r>
      <w:r w:rsidR="007E3CB5">
        <w:rPr>
          <w:rFonts w:eastAsia="Times New Roman"/>
          <w:szCs w:val="26"/>
        </w:rPr>
      </w:r>
      <w:r w:rsidR="007E3CB5">
        <w:rPr>
          <w:rFonts w:eastAsia="Times New Roman"/>
          <w:szCs w:val="26"/>
        </w:rPr>
        <w:fldChar w:fldCharType="separate"/>
      </w:r>
      <w:r w:rsidR="007D7CA7" w:rsidRPr="007E3CB5">
        <w:t xml:space="preserve">Table </w:t>
      </w:r>
      <w:r w:rsidR="007D7CA7">
        <w:rPr>
          <w:noProof/>
        </w:rPr>
        <w:t>15</w:t>
      </w:r>
      <w:r w:rsidR="007E3CB5">
        <w:rPr>
          <w:rFonts w:eastAsia="Times New Roman"/>
          <w:szCs w:val="26"/>
        </w:rPr>
        <w:fldChar w:fldCharType="end"/>
      </w:r>
      <w:r w:rsidRPr="00DC368E">
        <w:rPr>
          <w:rFonts w:eastAsia="Times New Roman"/>
          <w:szCs w:val="26"/>
        </w:rPr>
        <w:t xml:space="preserve"> to better understand the general health of the HUC-12 watershed, but the validation check was performed at the stream level. Streams where the percentage of passing FBS sample points is greater than or equal to 85% are marked as “Pass”, otherwise marked as “Fail”.</w:t>
      </w:r>
    </w:p>
    <w:p w14:paraId="0F28E1E4" w14:textId="2E6E9370" w:rsidR="007774CA" w:rsidRDefault="007774CA">
      <w:pPr>
        <w:tabs>
          <w:tab w:val="clear" w:pos="284"/>
        </w:tabs>
        <w:spacing w:line="240" w:lineRule="auto"/>
        <w:rPr>
          <w:rFonts w:eastAsia="Times New Roman"/>
          <w:szCs w:val="26"/>
        </w:rPr>
      </w:pPr>
      <w:r>
        <w:rPr>
          <w:rFonts w:eastAsia="Times New Roman"/>
          <w:szCs w:val="26"/>
        </w:rPr>
        <w:br w:type="page"/>
      </w:r>
    </w:p>
    <w:p w14:paraId="61188927" w14:textId="36917795" w:rsidR="007E3CB5" w:rsidRDefault="007E3CB5" w:rsidP="007E3CB5">
      <w:pPr>
        <w:pStyle w:val="Caption"/>
        <w:jc w:val="center"/>
      </w:pPr>
      <w:bookmarkStart w:id="305" w:name="_Ref495418479"/>
      <w:bookmarkStart w:id="306" w:name="_Ref80561397"/>
      <w:bookmarkStart w:id="307" w:name="_Toc112244178"/>
      <w:r w:rsidRPr="007E3CB5">
        <w:lastRenderedPageBreak/>
        <w:t xml:space="preserve">Table </w:t>
      </w:r>
      <w:r w:rsidRPr="007E3CB5">
        <w:fldChar w:fldCharType="begin"/>
      </w:r>
      <w:r w:rsidRPr="007E3CB5">
        <w:instrText xml:space="preserve"> SEQ Table \* ARABIC </w:instrText>
      </w:r>
      <w:r w:rsidRPr="007E3CB5">
        <w:fldChar w:fldCharType="separate"/>
      </w:r>
      <w:r w:rsidR="007D7CA7">
        <w:rPr>
          <w:noProof/>
        </w:rPr>
        <w:t>15</w:t>
      </w:r>
      <w:r w:rsidRPr="007E3CB5">
        <w:rPr>
          <w:noProof/>
        </w:rPr>
        <w:fldChar w:fldCharType="end"/>
      </w:r>
      <w:bookmarkEnd w:id="305"/>
      <w:r w:rsidRPr="007E3CB5">
        <w:t>: BLE Comparison Results</w:t>
      </w:r>
      <w:bookmarkEnd w:id="306"/>
      <w:bookmarkEnd w:id="307"/>
    </w:p>
    <w:tbl>
      <w:tblPr>
        <w:tblW w:w="9990" w:type="dxa"/>
        <w:jc w:val="center"/>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Layout w:type="fixed"/>
        <w:tblCellMar>
          <w:left w:w="30" w:type="dxa"/>
          <w:right w:w="30" w:type="dxa"/>
        </w:tblCellMar>
        <w:tblLook w:val="0000" w:firstRow="0" w:lastRow="0" w:firstColumn="0" w:lastColumn="0" w:noHBand="0" w:noVBand="0"/>
      </w:tblPr>
      <w:tblGrid>
        <w:gridCol w:w="2790"/>
        <w:gridCol w:w="1710"/>
        <w:gridCol w:w="810"/>
        <w:gridCol w:w="810"/>
        <w:gridCol w:w="810"/>
        <w:gridCol w:w="720"/>
        <w:gridCol w:w="1350"/>
        <w:gridCol w:w="990"/>
      </w:tblGrid>
      <w:tr w:rsidR="004A0415" w14:paraId="7457DAC8" w14:textId="77777777" w:rsidTr="004A0415">
        <w:trPr>
          <w:trHeight w:val="288"/>
          <w:jc w:val="center"/>
        </w:trPr>
        <w:tc>
          <w:tcPr>
            <w:tcW w:w="4500" w:type="dxa"/>
            <w:gridSpan w:val="2"/>
            <w:shd w:val="clear" w:color="auto" w:fill="00B5E2" w:themeFill="accent1"/>
            <w:vAlign w:val="center"/>
          </w:tcPr>
          <w:p w14:paraId="7B38AD04" w14:textId="77777777" w:rsidR="004A0415" w:rsidRPr="00DB51AA" w:rsidRDefault="004A0415" w:rsidP="004A0415">
            <w:pPr>
              <w:jc w:val="center"/>
              <w:rPr>
                <w:rFonts w:ascii="Calibri" w:hAnsi="Calibri"/>
                <w:b/>
                <w:color w:val="FFFFFF"/>
                <w:sz w:val="22"/>
                <w:szCs w:val="22"/>
              </w:rPr>
            </w:pPr>
            <w:r w:rsidRPr="00DB51AA">
              <w:rPr>
                <w:rFonts w:ascii="Calibri" w:hAnsi="Calibri"/>
                <w:b/>
                <w:color w:val="FFFFFF"/>
                <w:sz w:val="22"/>
                <w:szCs w:val="22"/>
              </w:rPr>
              <w:t>HUC-12 Watershed</w:t>
            </w:r>
          </w:p>
        </w:tc>
        <w:tc>
          <w:tcPr>
            <w:tcW w:w="810" w:type="dxa"/>
            <w:vMerge w:val="restart"/>
            <w:shd w:val="clear" w:color="auto" w:fill="00B5E2" w:themeFill="accent1"/>
            <w:vAlign w:val="center"/>
          </w:tcPr>
          <w:p w14:paraId="48526C83" w14:textId="77777777" w:rsidR="004A0415" w:rsidRPr="00DB51AA" w:rsidRDefault="004A0415" w:rsidP="004A0415">
            <w:pPr>
              <w:jc w:val="center"/>
              <w:rPr>
                <w:rFonts w:ascii="Calibri" w:hAnsi="Calibri"/>
                <w:b/>
                <w:color w:val="FFFFFF"/>
                <w:sz w:val="22"/>
                <w:szCs w:val="22"/>
              </w:rPr>
            </w:pPr>
            <w:r w:rsidRPr="00DB51AA">
              <w:rPr>
                <w:rFonts w:ascii="Calibri" w:hAnsi="Calibri"/>
                <w:b/>
                <w:color w:val="FFFFFF"/>
                <w:sz w:val="22"/>
                <w:szCs w:val="22"/>
              </w:rPr>
              <w:t>Total FBS points</w:t>
            </w:r>
          </w:p>
        </w:tc>
        <w:tc>
          <w:tcPr>
            <w:tcW w:w="810" w:type="dxa"/>
            <w:vMerge w:val="restart"/>
            <w:shd w:val="clear" w:color="auto" w:fill="00B5E2" w:themeFill="accent1"/>
            <w:vAlign w:val="center"/>
          </w:tcPr>
          <w:p w14:paraId="1D19B363" w14:textId="77777777" w:rsidR="004A0415" w:rsidRPr="00DB51AA" w:rsidRDefault="004A0415" w:rsidP="004A0415">
            <w:pPr>
              <w:jc w:val="center"/>
              <w:rPr>
                <w:rFonts w:ascii="Calibri" w:hAnsi="Calibri"/>
                <w:b/>
                <w:color w:val="FFFFFF"/>
                <w:sz w:val="22"/>
                <w:szCs w:val="22"/>
              </w:rPr>
            </w:pPr>
            <w:r w:rsidRPr="00DB51AA">
              <w:rPr>
                <w:rFonts w:ascii="Calibri" w:hAnsi="Calibri"/>
                <w:b/>
                <w:color w:val="FFFFFF"/>
                <w:sz w:val="22"/>
                <w:szCs w:val="22"/>
              </w:rPr>
              <w:t>Fail</w:t>
            </w:r>
          </w:p>
        </w:tc>
        <w:tc>
          <w:tcPr>
            <w:tcW w:w="810" w:type="dxa"/>
            <w:vMerge w:val="restart"/>
            <w:shd w:val="clear" w:color="auto" w:fill="00B5E2" w:themeFill="accent1"/>
            <w:vAlign w:val="center"/>
          </w:tcPr>
          <w:p w14:paraId="7E038F9D" w14:textId="77777777" w:rsidR="004A0415" w:rsidRPr="00DB51AA" w:rsidRDefault="004A0415" w:rsidP="004A0415">
            <w:pPr>
              <w:jc w:val="center"/>
              <w:rPr>
                <w:rFonts w:ascii="Calibri" w:hAnsi="Calibri"/>
                <w:b/>
                <w:color w:val="FFFFFF"/>
                <w:sz w:val="22"/>
                <w:szCs w:val="22"/>
              </w:rPr>
            </w:pPr>
            <w:r w:rsidRPr="00DB51AA">
              <w:rPr>
                <w:rFonts w:ascii="Calibri" w:hAnsi="Calibri"/>
                <w:b/>
                <w:color w:val="FFFFFF"/>
                <w:sz w:val="22"/>
                <w:szCs w:val="22"/>
              </w:rPr>
              <w:t>Pass</w:t>
            </w:r>
          </w:p>
        </w:tc>
        <w:tc>
          <w:tcPr>
            <w:tcW w:w="720" w:type="dxa"/>
            <w:vMerge w:val="restart"/>
            <w:shd w:val="clear" w:color="auto" w:fill="00B5E2" w:themeFill="accent1"/>
            <w:vAlign w:val="center"/>
          </w:tcPr>
          <w:p w14:paraId="69A97225" w14:textId="77777777" w:rsidR="004A0415" w:rsidRPr="00DB51AA" w:rsidRDefault="004A0415" w:rsidP="004A0415">
            <w:pPr>
              <w:jc w:val="center"/>
              <w:rPr>
                <w:rFonts w:ascii="Calibri" w:hAnsi="Calibri"/>
                <w:b/>
                <w:color w:val="FFFFFF"/>
                <w:sz w:val="22"/>
                <w:szCs w:val="22"/>
              </w:rPr>
            </w:pPr>
            <w:r w:rsidRPr="00DB51AA">
              <w:rPr>
                <w:rFonts w:ascii="Calibri" w:hAnsi="Calibri"/>
                <w:b/>
                <w:color w:val="FFFFFF"/>
                <w:sz w:val="22"/>
                <w:szCs w:val="22"/>
              </w:rPr>
              <w:t>%Pass</w:t>
            </w:r>
          </w:p>
        </w:tc>
        <w:tc>
          <w:tcPr>
            <w:tcW w:w="1350" w:type="dxa"/>
            <w:vMerge w:val="restart"/>
            <w:shd w:val="clear" w:color="auto" w:fill="00B5E2" w:themeFill="accent1"/>
            <w:vAlign w:val="center"/>
          </w:tcPr>
          <w:p w14:paraId="248CD5E0" w14:textId="77777777" w:rsidR="004A0415" w:rsidRPr="00DB51AA" w:rsidRDefault="004A0415" w:rsidP="004A0415">
            <w:pPr>
              <w:jc w:val="center"/>
              <w:rPr>
                <w:rFonts w:ascii="Calibri" w:hAnsi="Calibri"/>
                <w:b/>
                <w:color w:val="FFFFFF"/>
                <w:sz w:val="22"/>
                <w:szCs w:val="22"/>
              </w:rPr>
            </w:pPr>
            <w:r w:rsidRPr="00DB51AA">
              <w:rPr>
                <w:rFonts w:ascii="Calibri" w:hAnsi="Calibri"/>
                <w:b/>
                <w:color w:val="FFFFFF"/>
                <w:sz w:val="22"/>
                <w:szCs w:val="22"/>
              </w:rPr>
              <w:t>BLE Comparison Pass? (&gt;85%)</w:t>
            </w:r>
          </w:p>
        </w:tc>
        <w:tc>
          <w:tcPr>
            <w:tcW w:w="990" w:type="dxa"/>
            <w:vMerge w:val="restart"/>
            <w:shd w:val="clear" w:color="auto" w:fill="00B5E2" w:themeFill="accent1"/>
            <w:vAlign w:val="center"/>
          </w:tcPr>
          <w:p w14:paraId="49F5C372" w14:textId="77777777" w:rsidR="004A0415" w:rsidRPr="00DB51AA" w:rsidRDefault="004A0415" w:rsidP="004A0415">
            <w:pPr>
              <w:jc w:val="center"/>
              <w:rPr>
                <w:rFonts w:ascii="Calibri" w:hAnsi="Calibri"/>
                <w:b/>
                <w:color w:val="FFFFFF"/>
                <w:sz w:val="22"/>
                <w:szCs w:val="22"/>
              </w:rPr>
            </w:pPr>
            <w:r w:rsidRPr="00DB51AA">
              <w:rPr>
                <w:rFonts w:ascii="Calibri" w:hAnsi="Calibri"/>
                <w:b/>
                <w:color w:val="FFFFFF"/>
                <w:sz w:val="22"/>
                <w:szCs w:val="22"/>
              </w:rPr>
              <w:t>Priority Score</w:t>
            </w:r>
          </w:p>
        </w:tc>
      </w:tr>
      <w:tr w:rsidR="004A0415" w14:paraId="2A7C94AE" w14:textId="77777777" w:rsidTr="004A0415">
        <w:trPr>
          <w:trHeight w:val="288"/>
          <w:jc w:val="center"/>
        </w:trPr>
        <w:tc>
          <w:tcPr>
            <w:tcW w:w="2790" w:type="dxa"/>
            <w:tcBorders>
              <w:bottom w:val="single" w:sz="4" w:space="0" w:color="3379BD"/>
            </w:tcBorders>
            <w:shd w:val="clear" w:color="auto" w:fill="00B5E2" w:themeFill="accent1"/>
          </w:tcPr>
          <w:p w14:paraId="697119D9" w14:textId="77777777" w:rsidR="004A0415" w:rsidRPr="00DB51AA" w:rsidRDefault="004A0415" w:rsidP="004A0415">
            <w:pPr>
              <w:rPr>
                <w:rFonts w:ascii="Calibri" w:hAnsi="Calibri"/>
                <w:b/>
                <w:color w:val="FFFFFF"/>
                <w:sz w:val="22"/>
                <w:szCs w:val="22"/>
              </w:rPr>
            </w:pPr>
            <w:r w:rsidRPr="00DB51AA">
              <w:rPr>
                <w:rFonts w:ascii="Calibri" w:hAnsi="Calibri"/>
                <w:b/>
                <w:color w:val="FFFFFF"/>
                <w:sz w:val="22"/>
                <w:szCs w:val="22"/>
              </w:rPr>
              <w:t>Watershed Name</w:t>
            </w:r>
          </w:p>
        </w:tc>
        <w:tc>
          <w:tcPr>
            <w:tcW w:w="1710" w:type="dxa"/>
            <w:tcBorders>
              <w:bottom w:val="single" w:sz="4" w:space="0" w:color="3379BD"/>
            </w:tcBorders>
            <w:shd w:val="clear" w:color="auto" w:fill="00B5E2" w:themeFill="accent1"/>
          </w:tcPr>
          <w:p w14:paraId="32F988F4" w14:textId="77777777" w:rsidR="004A0415" w:rsidRPr="00DB51AA" w:rsidRDefault="004A0415" w:rsidP="004A0415">
            <w:pPr>
              <w:rPr>
                <w:rFonts w:ascii="Calibri" w:hAnsi="Calibri"/>
                <w:b/>
                <w:color w:val="FFFFFF"/>
                <w:sz w:val="22"/>
                <w:szCs w:val="22"/>
              </w:rPr>
            </w:pPr>
            <w:r w:rsidRPr="00DB51AA">
              <w:rPr>
                <w:rFonts w:ascii="Calibri" w:hAnsi="Calibri"/>
                <w:b/>
                <w:color w:val="FFFFFF"/>
                <w:sz w:val="22"/>
                <w:szCs w:val="22"/>
              </w:rPr>
              <w:t>Watershed Number</w:t>
            </w:r>
          </w:p>
        </w:tc>
        <w:tc>
          <w:tcPr>
            <w:tcW w:w="810" w:type="dxa"/>
            <w:vMerge/>
            <w:tcBorders>
              <w:bottom w:val="single" w:sz="4" w:space="0" w:color="3379BD"/>
            </w:tcBorders>
            <w:shd w:val="clear" w:color="auto" w:fill="00B5E2" w:themeFill="accent1"/>
          </w:tcPr>
          <w:p w14:paraId="2A07BA6E" w14:textId="77777777" w:rsidR="004A0415" w:rsidRPr="009A3514" w:rsidRDefault="004A0415" w:rsidP="004A0415">
            <w:pPr>
              <w:jc w:val="right"/>
              <w:rPr>
                <w:rFonts w:ascii="Calibri" w:hAnsi="Calibri"/>
                <w:color w:val="FFFFFF"/>
                <w:sz w:val="22"/>
                <w:szCs w:val="22"/>
              </w:rPr>
            </w:pPr>
          </w:p>
        </w:tc>
        <w:tc>
          <w:tcPr>
            <w:tcW w:w="810" w:type="dxa"/>
            <w:vMerge/>
            <w:tcBorders>
              <w:bottom w:val="single" w:sz="4" w:space="0" w:color="3379BD"/>
            </w:tcBorders>
            <w:shd w:val="clear" w:color="auto" w:fill="00B5E2" w:themeFill="accent1"/>
          </w:tcPr>
          <w:p w14:paraId="0587D3DF" w14:textId="77777777" w:rsidR="004A0415" w:rsidRPr="009A3514" w:rsidRDefault="004A0415" w:rsidP="004A0415">
            <w:pPr>
              <w:jc w:val="center"/>
              <w:rPr>
                <w:rFonts w:ascii="Calibri" w:hAnsi="Calibri"/>
                <w:color w:val="FFFFFF"/>
                <w:sz w:val="22"/>
                <w:szCs w:val="22"/>
              </w:rPr>
            </w:pPr>
          </w:p>
        </w:tc>
        <w:tc>
          <w:tcPr>
            <w:tcW w:w="810" w:type="dxa"/>
            <w:vMerge/>
            <w:tcBorders>
              <w:bottom w:val="single" w:sz="4" w:space="0" w:color="3379BD"/>
            </w:tcBorders>
            <w:shd w:val="clear" w:color="auto" w:fill="00B5E2" w:themeFill="accent1"/>
          </w:tcPr>
          <w:p w14:paraId="46D7D78C" w14:textId="77777777" w:rsidR="004A0415" w:rsidRPr="009A3514" w:rsidRDefault="004A0415" w:rsidP="004A0415">
            <w:pPr>
              <w:jc w:val="center"/>
              <w:rPr>
                <w:rFonts w:ascii="Calibri" w:hAnsi="Calibri"/>
                <w:color w:val="FFFFFF"/>
                <w:sz w:val="22"/>
                <w:szCs w:val="22"/>
              </w:rPr>
            </w:pPr>
          </w:p>
        </w:tc>
        <w:tc>
          <w:tcPr>
            <w:tcW w:w="720" w:type="dxa"/>
            <w:vMerge/>
            <w:tcBorders>
              <w:bottom w:val="single" w:sz="4" w:space="0" w:color="3379BD"/>
            </w:tcBorders>
            <w:shd w:val="clear" w:color="auto" w:fill="00B5E2" w:themeFill="accent1"/>
          </w:tcPr>
          <w:p w14:paraId="6174DEEA" w14:textId="77777777" w:rsidR="004A0415" w:rsidRPr="009A3514" w:rsidRDefault="004A0415" w:rsidP="004A0415">
            <w:pPr>
              <w:jc w:val="center"/>
              <w:rPr>
                <w:rFonts w:ascii="Calibri" w:hAnsi="Calibri"/>
                <w:color w:val="FFFFFF"/>
                <w:sz w:val="22"/>
                <w:szCs w:val="22"/>
              </w:rPr>
            </w:pPr>
          </w:p>
        </w:tc>
        <w:tc>
          <w:tcPr>
            <w:tcW w:w="1350" w:type="dxa"/>
            <w:vMerge/>
            <w:tcBorders>
              <w:bottom w:val="single" w:sz="4" w:space="0" w:color="3379BD"/>
            </w:tcBorders>
            <w:shd w:val="clear" w:color="auto" w:fill="00B5E2" w:themeFill="accent1"/>
          </w:tcPr>
          <w:p w14:paraId="5B9894AB" w14:textId="77777777" w:rsidR="004A0415" w:rsidRPr="009A3514" w:rsidRDefault="004A0415" w:rsidP="004A0415">
            <w:pPr>
              <w:jc w:val="center"/>
              <w:rPr>
                <w:rFonts w:ascii="Calibri" w:hAnsi="Calibri"/>
                <w:color w:val="FFFFFF"/>
                <w:sz w:val="22"/>
                <w:szCs w:val="22"/>
              </w:rPr>
            </w:pPr>
          </w:p>
        </w:tc>
        <w:tc>
          <w:tcPr>
            <w:tcW w:w="990" w:type="dxa"/>
            <w:vMerge/>
            <w:tcBorders>
              <w:bottom w:val="single" w:sz="4" w:space="0" w:color="3379BD"/>
            </w:tcBorders>
            <w:shd w:val="clear" w:color="auto" w:fill="00B5E2" w:themeFill="accent1"/>
          </w:tcPr>
          <w:p w14:paraId="078C3FE9" w14:textId="77777777" w:rsidR="004A0415" w:rsidRPr="009A3514" w:rsidRDefault="004A0415" w:rsidP="004A0415">
            <w:pPr>
              <w:jc w:val="center"/>
              <w:rPr>
                <w:rFonts w:ascii="Calibri" w:hAnsi="Calibri"/>
                <w:color w:val="FFFFFF"/>
                <w:sz w:val="22"/>
                <w:szCs w:val="22"/>
              </w:rPr>
            </w:pPr>
          </w:p>
        </w:tc>
      </w:tr>
      <w:tr w:rsidR="004A0415" w:rsidRPr="00F05AAD" w14:paraId="7BA683CC" w14:textId="77777777" w:rsidTr="004A0415">
        <w:trPr>
          <w:trHeight w:val="413"/>
          <w:jc w:val="center"/>
        </w:trPr>
        <w:tc>
          <w:tcPr>
            <w:tcW w:w="2790" w:type="dxa"/>
            <w:shd w:val="clear" w:color="auto" w:fill="F2F2F2" w:themeFill="background1" w:themeFillShade="F2"/>
            <w:vAlign w:val="center"/>
          </w:tcPr>
          <w:p w14:paraId="0860922F" w14:textId="77777777" w:rsidR="004A0415" w:rsidRPr="00574955" w:rsidRDefault="004A0415" w:rsidP="004A0415">
            <w:pPr>
              <w:tabs>
                <w:tab w:val="clear" w:pos="284"/>
              </w:tabs>
              <w:autoSpaceDE w:val="0"/>
              <w:autoSpaceDN w:val="0"/>
              <w:adjustRightInd w:val="0"/>
              <w:spacing w:line="240" w:lineRule="auto"/>
              <w:rPr>
                <w:rFonts w:ascii="Calibri" w:hAnsi="Calibri" w:cs="Calibri"/>
                <w:color w:val="000000"/>
                <w:kern w:val="0"/>
                <w:sz w:val="22"/>
                <w:szCs w:val="22"/>
              </w:rPr>
            </w:pPr>
            <w:r>
              <w:rPr>
                <w:rFonts w:ascii="Calibri" w:eastAsia="Times New Roman" w:hAnsi="Calibri" w:cs="Calibri"/>
                <w:color w:val="000000"/>
                <w:sz w:val="22"/>
                <w:szCs w:val="22"/>
              </w:rPr>
              <w:t>Cowhouse</w:t>
            </w:r>
            <w:r w:rsidRPr="00574955">
              <w:rPr>
                <w:rFonts w:ascii="Calibri" w:eastAsia="Times New Roman" w:hAnsi="Calibri" w:cs="Calibri"/>
                <w:color w:val="000000"/>
                <w:sz w:val="22"/>
                <w:szCs w:val="22"/>
              </w:rPr>
              <w:t xml:space="preserve"> Watershed</w:t>
            </w:r>
          </w:p>
        </w:tc>
        <w:tc>
          <w:tcPr>
            <w:tcW w:w="1710" w:type="dxa"/>
            <w:shd w:val="clear" w:color="auto" w:fill="F2F2F2" w:themeFill="background1" w:themeFillShade="F2"/>
            <w:vAlign w:val="center"/>
          </w:tcPr>
          <w:p w14:paraId="7BD4C6AC" w14:textId="77777777" w:rsidR="004A0415" w:rsidRPr="00574955" w:rsidRDefault="004A0415" w:rsidP="004A0415">
            <w:pPr>
              <w:tabs>
                <w:tab w:val="clear" w:pos="284"/>
              </w:tabs>
              <w:autoSpaceDE w:val="0"/>
              <w:autoSpaceDN w:val="0"/>
              <w:adjustRightInd w:val="0"/>
              <w:spacing w:line="240" w:lineRule="auto"/>
              <w:jc w:val="center"/>
              <w:rPr>
                <w:rFonts w:ascii="Calibri" w:hAnsi="Calibri" w:cs="Calibri"/>
                <w:color w:val="000000"/>
                <w:kern w:val="0"/>
                <w:sz w:val="22"/>
                <w:szCs w:val="22"/>
              </w:rPr>
            </w:pPr>
            <w:r w:rsidRPr="00574955">
              <w:rPr>
                <w:rFonts w:ascii="Calibri" w:eastAsia="Times New Roman" w:hAnsi="Calibri" w:cs="Calibri"/>
                <w:color w:val="000000"/>
                <w:sz w:val="22"/>
                <w:szCs w:val="22"/>
              </w:rPr>
              <w:t>All Streams</w:t>
            </w:r>
          </w:p>
        </w:tc>
        <w:tc>
          <w:tcPr>
            <w:tcW w:w="810" w:type="dxa"/>
            <w:shd w:val="clear" w:color="auto" w:fill="F2F2F2" w:themeFill="background1" w:themeFillShade="F2"/>
            <w:vAlign w:val="center"/>
          </w:tcPr>
          <w:p w14:paraId="2CD6BE21" w14:textId="3CE74D88" w:rsidR="004A0415" w:rsidRPr="00574955" w:rsidRDefault="004A0415" w:rsidP="00561DFC">
            <w:pPr>
              <w:jc w:val="center"/>
              <w:rPr>
                <w:rFonts w:ascii="Calibri" w:hAnsi="Calibri" w:cs="Arial"/>
                <w:sz w:val="22"/>
                <w:szCs w:val="22"/>
              </w:rPr>
            </w:pPr>
            <w:r>
              <w:rPr>
                <w:rFonts w:ascii="Calibri" w:hAnsi="Calibri" w:cs="Arial"/>
                <w:sz w:val="20"/>
                <w:szCs w:val="20"/>
              </w:rPr>
              <w:t>2</w:t>
            </w:r>
            <w:r w:rsidR="00561DFC">
              <w:rPr>
                <w:rFonts w:ascii="Calibri" w:hAnsi="Calibri" w:cs="Arial"/>
                <w:sz w:val="20"/>
                <w:szCs w:val="20"/>
              </w:rPr>
              <w:t>2</w:t>
            </w:r>
            <w:r>
              <w:rPr>
                <w:rFonts w:ascii="Calibri" w:hAnsi="Calibri" w:cs="Arial"/>
                <w:sz w:val="20"/>
                <w:szCs w:val="20"/>
              </w:rPr>
              <w:t>,</w:t>
            </w:r>
            <w:r w:rsidR="00561DFC">
              <w:rPr>
                <w:rFonts w:ascii="Calibri" w:hAnsi="Calibri" w:cs="Arial"/>
                <w:sz w:val="20"/>
                <w:szCs w:val="20"/>
              </w:rPr>
              <w:t>048</w:t>
            </w:r>
          </w:p>
        </w:tc>
        <w:tc>
          <w:tcPr>
            <w:tcW w:w="810" w:type="dxa"/>
            <w:shd w:val="clear" w:color="auto" w:fill="F2F2F2" w:themeFill="background1" w:themeFillShade="F2"/>
            <w:vAlign w:val="center"/>
          </w:tcPr>
          <w:p w14:paraId="4548C564" w14:textId="4B4845C0" w:rsidR="004A0415" w:rsidRPr="00574955" w:rsidRDefault="004A0415" w:rsidP="00561DFC">
            <w:pPr>
              <w:jc w:val="center"/>
              <w:rPr>
                <w:rFonts w:ascii="Calibri" w:hAnsi="Calibri" w:cs="Arial"/>
                <w:sz w:val="22"/>
                <w:szCs w:val="22"/>
              </w:rPr>
            </w:pPr>
            <w:r>
              <w:rPr>
                <w:rFonts w:ascii="Calibri" w:hAnsi="Calibri" w:cs="Arial"/>
                <w:sz w:val="20"/>
                <w:szCs w:val="20"/>
              </w:rPr>
              <w:t>1,</w:t>
            </w:r>
            <w:r w:rsidR="00561DFC">
              <w:rPr>
                <w:rFonts w:ascii="Calibri" w:hAnsi="Calibri" w:cs="Arial"/>
                <w:sz w:val="20"/>
                <w:szCs w:val="20"/>
              </w:rPr>
              <w:t>429</w:t>
            </w:r>
          </w:p>
        </w:tc>
        <w:tc>
          <w:tcPr>
            <w:tcW w:w="810" w:type="dxa"/>
            <w:shd w:val="clear" w:color="auto" w:fill="F2F2F2" w:themeFill="background1" w:themeFillShade="F2"/>
            <w:vAlign w:val="center"/>
          </w:tcPr>
          <w:p w14:paraId="13C95929" w14:textId="10965C15" w:rsidR="004A0415" w:rsidRPr="00574955" w:rsidRDefault="004A0415" w:rsidP="00561DFC">
            <w:pPr>
              <w:jc w:val="center"/>
              <w:rPr>
                <w:rFonts w:ascii="Calibri" w:hAnsi="Calibri" w:cs="Arial"/>
                <w:sz w:val="22"/>
                <w:szCs w:val="22"/>
              </w:rPr>
            </w:pPr>
            <w:r>
              <w:rPr>
                <w:rFonts w:ascii="Calibri" w:hAnsi="Calibri" w:cs="Arial"/>
                <w:sz w:val="20"/>
                <w:szCs w:val="20"/>
              </w:rPr>
              <w:t>20,</w:t>
            </w:r>
            <w:r w:rsidR="00561DFC">
              <w:rPr>
                <w:rFonts w:ascii="Calibri" w:hAnsi="Calibri" w:cs="Arial"/>
                <w:sz w:val="20"/>
                <w:szCs w:val="20"/>
              </w:rPr>
              <w:t>619</w:t>
            </w:r>
          </w:p>
        </w:tc>
        <w:tc>
          <w:tcPr>
            <w:tcW w:w="720" w:type="dxa"/>
            <w:shd w:val="clear" w:color="auto" w:fill="F2F2F2" w:themeFill="background1" w:themeFillShade="F2"/>
            <w:vAlign w:val="center"/>
          </w:tcPr>
          <w:p w14:paraId="2E6E267A" w14:textId="77777777" w:rsidR="004A0415" w:rsidRPr="00574955" w:rsidRDefault="004A0415" w:rsidP="004A0415">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94</w:t>
            </w:r>
            <w:r w:rsidRPr="00574955">
              <w:rPr>
                <w:rFonts w:ascii="Calibri" w:hAnsi="Calibri" w:cs="Arial"/>
                <w:sz w:val="20"/>
                <w:szCs w:val="20"/>
              </w:rPr>
              <w:t>%</w:t>
            </w:r>
          </w:p>
        </w:tc>
        <w:tc>
          <w:tcPr>
            <w:tcW w:w="1350" w:type="dxa"/>
            <w:shd w:val="clear" w:color="auto" w:fill="F2F2F2" w:themeFill="background1" w:themeFillShade="F2"/>
            <w:vAlign w:val="center"/>
          </w:tcPr>
          <w:p w14:paraId="52C6F315" w14:textId="77777777" w:rsidR="004A0415" w:rsidRPr="00574955" w:rsidRDefault="004A0415" w:rsidP="004A0415">
            <w:pPr>
              <w:tabs>
                <w:tab w:val="clear" w:pos="284"/>
              </w:tabs>
              <w:autoSpaceDE w:val="0"/>
              <w:autoSpaceDN w:val="0"/>
              <w:adjustRightInd w:val="0"/>
              <w:spacing w:line="240" w:lineRule="auto"/>
              <w:jc w:val="center"/>
              <w:rPr>
                <w:rFonts w:ascii="Calibri" w:hAnsi="Calibri" w:cs="Calibri"/>
                <w:color w:val="000000"/>
                <w:kern w:val="0"/>
                <w:sz w:val="22"/>
                <w:szCs w:val="22"/>
              </w:rPr>
            </w:pPr>
            <w:r w:rsidRPr="00574955">
              <w:rPr>
                <w:rFonts w:ascii="Calibri" w:eastAsia="Times New Roman" w:hAnsi="Calibri" w:cs="Calibri"/>
                <w:color w:val="000000"/>
                <w:sz w:val="22"/>
                <w:szCs w:val="22"/>
              </w:rPr>
              <w:t>Pass</w:t>
            </w:r>
          </w:p>
        </w:tc>
        <w:tc>
          <w:tcPr>
            <w:tcW w:w="990" w:type="dxa"/>
            <w:shd w:val="clear" w:color="auto" w:fill="F2F2F2" w:themeFill="background1" w:themeFillShade="F2"/>
            <w:vAlign w:val="center"/>
          </w:tcPr>
          <w:p w14:paraId="35684186" w14:textId="77777777" w:rsidR="004A0415" w:rsidRPr="00F05AAD" w:rsidRDefault="004A0415" w:rsidP="004A0415">
            <w:pPr>
              <w:tabs>
                <w:tab w:val="clear" w:pos="284"/>
              </w:tabs>
              <w:autoSpaceDE w:val="0"/>
              <w:autoSpaceDN w:val="0"/>
              <w:adjustRightInd w:val="0"/>
              <w:spacing w:line="240" w:lineRule="auto"/>
              <w:rPr>
                <w:rFonts w:ascii="Calibri" w:hAnsi="Calibri" w:cs="Calibri"/>
                <w:color w:val="000000"/>
                <w:kern w:val="0"/>
                <w:sz w:val="22"/>
                <w:szCs w:val="22"/>
                <w:highlight w:val="green"/>
              </w:rPr>
            </w:pPr>
          </w:p>
        </w:tc>
      </w:tr>
      <w:tr w:rsidR="00561DFC" w:rsidRPr="00F05AAD" w14:paraId="0E5ED494" w14:textId="77777777" w:rsidTr="008A47D0">
        <w:trPr>
          <w:trHeight w:val="413"/>
          <w:jc w:val="center"/>
        </w:trPr>
        <w:tc>
          <w:tcPr>
            <w:tcW w:w="2790" w:type="dxa"/>
            <w:shd w:val="clear" w:color="auto" w:fill="auto"/>
            <w:vAlign w:val="center"/>
          </w:tcPr>
          <w:p w14:paraId="3E1B2C4F" w14:textId="77777777" w:rsidR="00561DFC" w:rsidRDefault="00561DFC" w:rsidP="004A0415">
            <w:pPr>
              <w:tabs>
                <w:tab w:val="clear" w:pos="284"/>
              </w:tabs>
              <w:autoSpaceDE w:val="0"/>
              <w:autoSpaceDN w:val="0"/>
              <w:adjustRightInd w:val="0"/>
              <w:spacing w:line="240" w:lineRule="auto"/>
              <w:rPr>
                <w:rFonts w:ascii="Calibri" w:eastAsia="Times New Roman" w:hAnsi="Calibri" w:cs="Calibri"/>
                <w:color w:val="000000"/>
                <w:sz w:val="22"/>
                <w:szCs w:val="22"/>
              </w:rPr>
            </w:pPr>
            <w:r>
              <w:rPr>
                <w:rFonts w:ascii="Calibri" w:hAnsi="Calibri" w:cs="Arial"/>
                <w:sz w:val="20"/>
                <w:szCs w:val="20"/>
              </w:rPr>
              <w:t>Bee Creek-Cowhouse Creek</w:t>
            </w:r>
          </w:p>
        </w:tc>
        <w:tc>
          <w:tcPr>
            <w:tcW w:w="1710" w:type="dxa"/>
            <w:shd w:val="clear" w:color="auto" w:fill="auto"/>
            <w:vAlign w:val="center"/>
          </w:tcPr>
          <w:p w14:paraId="337FAEA3" w14:textId="77777777" w:rsidR="00561DFC" w:rsidRPr="00574955" w:rsidRDefault="00561DFC" w:rsidP="004A0415">
            <w:pPr>
              <w:tabs>
                <w:tab w:val="clear" w:pos="284"/>
              </w:tabs>
              <w:autoSpaceDE w:val="0"/>
              <w:autoSpaceDN w:val="0"/>
              <w:adjustRightInd w:val="0"/>
              <w:spacing w:line="240" w:lineRule="auto"/>
              <w:jc w:val="center"/>
              <w:rPr>
                <w:rFonts w:ascii="Calibri" w:eastAsia="Times New Roman" w:hAnsi="Calibri" w:cs="Calibri"/>
                <w:color w:val="000000"/>
                <w:sz w:val="22"/>
                <w:szCs w:val="22"/>
              </w:rPr>
            </w:pPr>
            <w:r>
              <w:rPr>
                <w:rFonts w:ascii="Calibri" w:hAnsi="Calibri" w:cs="Arial"/>
                <w:sz w:val="20"/>
                <w:szCs w:val="20"/>
              </w:rPr>
              <w:t>120702020201</w:t>
            </w:r>
          </w:p>
        </w:tc>
        <w:tc>
          <w:tcPr>
            <w:tcW w:w="810" w:type="dxa"/>
            <w:shd w:val="clear" w:color="auto" w:fill="auto"/>
            <w:vAlign w:val="center"/>
          </w:tcPr>
          <w:p w14:paraId="445B782F" w14:textId="0D9EFD15" w:rsidR="00561DFC" w:rsidRDefault="00561DFC" w:rsidP="004A0415">
            <w:pPr>
              <w:jc w:val="center"/>
              <w:rPr>
                <w:rFonts w:ascii="Calibri" w:hAnsi="Calibri" w:cs="Arial"/>
                <w:sz w:val="20"/>
                <w:szCs w:val="20"/>
              </w:rPr>
            </w:pPr>
            <w:r>
              <w:rPr>
                <w:rFonts w:ascii="Calibri" w:hAnsi="Calibri" w:cs="Arial"/>
                <w:sz w:val="20"/>
                <w:szCs w:val="20"/>
              </w:rPr>
              <w:t>2,328</w:t>
            </w:r>
          </w:p>
        </w:tc>
        <w:tc>
          <w:tcPr>
            <w:tcW w:w="810" w:type="dxa"/>
            <w:shd w:val="clear" w:color="auto" w:fill="auto"/>
            <w:vAlign w:val="center"/>
          </w:tcPr>
          <w:p w14:paraId="041E7C2B" w14:textId="1FE87482" w:rsidR="00561DFC" w:rsidRDefault="00561DFC" w:rsidP="004A0415">
            <w:pPr>
              <w:jc w:val="center"/>
              <w:rPr>
                <w:rFonts w:ascii="Calibri" w:hAnsi="Calibri" w:cs="Arial"/>
                <w:sz w:val="20"/>
                <w:szCs w:val="20"/>
              </w:rPr>
            </w:pPr>
            <w:r>
              <w:rPr>
                <w:rFonts w:ascii="Calibri" w:hAnsi="Calibri" w:cs="Arial"/>
                <w:sz w:val="20"/>
                <w:szCs w:val="20"/>
              </w:rPr>
              <w:t>120</w:t>
            </w:r>
          </w:p>
        </w:tc>
        <w:tc>
          <w:tcPr>
            <w:tcW w:w="810" w:type="dxa"/>
            <w:shd w:val="clear" w:color="auto" w:fill="auto"/>
            <w:vAlign w:val="center"/>
          </w:tcPr>
          <w:p w14:paraId="208E2FFA" w14:textId="76CD52CA" w:rsidR="00561DFC" w:rsidRDefault="00561DFC" w:rsidP="004A0415">
            <w:pPr>
              <w:jc w:val="center"/>
              <w:rPr>
                <w:rFonts w:ascii="Calibri" w:hAnsi="Calibri" w:cs="Arial"/>
                <w:sz w:val="20"/>
                <w:szCs w:val="20"/>
              </w:rPr>
            </w:pPr>
            <w:r>
              <w:rPr>
                <w:rFonts w:ascii="Calibri" w:hAnsi="Calibri" w:cs="Arial"/>
                <w:sz w:val="20"/>
                <w:szCs w:val="20"/>
              </w:rPr>
              <w:t>2,208</w:t>
            </w:r>
          </w:p>
        </w:tc>
        <w:tc>
          <w:tcPr>
            <w:tcW w:w="720" w:type="dxa"/>
            <w:shd w:val="clear" w:color="auto" w:fill="auto"/>
            <w:vAlign w:val="center"/>
          </w:tcPr>
          <w:p w14:paraId="09D33FB3" w14:textId="6E187ED9" w:rsidR="00561DFC" w:rsidRDefault="00561DFC" w:rsidP="004A041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95%</w:t>
            </w:r>
          </w:p>
        </w:tc>
        <w:tc>
          <w:tcPr>
            <w:tcW w:w="1350" w:type="dxa"/>
            <w:shd w:val="clear" w:color="auto" w:fill="auto"/>
            <w:vAlign w:val="center"/>
          </w:tcPr>
          <w:p w14:paraId="083F5A26" w14:textId="4099F7DA" w:rsidR="00561DFC" w:rsidRPr="00574955" w:rsidRDefault="00561DFC" w:rsidP="004A0415">
            <w:pPr>
              <w:tabs>
                <w:tab w:val="clear" w:pos="284"/>
              </w:tabs>
              <w:autoSpaceDE w:val="0"/>
              <w:autoSpaceDN w:val="0"/>
              <w:adjustRightInd w:val="0"/>
              <w:spacing w:line="240" w:lineRule="auto"/>
              <w:jc w:val="center"/>
              <w:rPr>
                <w:rFonts w:ascii="Calibri" w:eastAsia="Times New Roman" w:hAnsi="Calibri" w:cs="Calibri"/>
                <w:color w:val="000000"/>
                <w:sz w:val="22"/>
                <w:szCs w:val="22"/>
              </w:rPr>
            </w:pPr>
            <w:r>
              <w:rPr>
                <w:rFonts w:ascii="Calibri" w:hAnsi="Calibri" w:cs="Arial"/>
                <w:sz w:val="20"/>
                <w:szCs w:val="20"/>
              </w:rPr>
              <w:t>Pass</w:t>
            </w:r>
          </w:p>
        </w:tc>
        <w:tc>
          <w:tcPr>
            <w:tcW w:w="990" w:type="dxa"/>
            <w:shd w:val="clear" w:color="auto" w:fill="auto"/>
            <w:vAlign w:val="center"/>
          </w:tcPr>
          <w:p w14:paraId="0172060D" w14:textId="6A4882CB" w:rsidR="00561DFC" w:rsidRPr="00F05AAD" w:rsidRDefault="00561DFC" w:rsidP="004A041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2.6</w:t>
            </w:r>
          </w:p>
        </w:tc>
      </w:tr>
      <w:tr w:rsidR="00561DFC" w:rsidRPr="00F05AAD" w14:paraId="5296C7BA" w14:textId="77777777" w:rsidTr="004A0415">
        <w:trPr>
          <w:trHeight w:val="413"/>
          <w:jc w:val="center"/>
        </w:trPr>
        <w:tc>
          <w:tcPr>
            <w:tcW w:w="2790" w:type="dxa"/>
            <w:shd w:val="clear" w:color="auto" w:fill="F2F2F2" w:themeFill="background1" w:themeFillShade="F2"/>
            <w:vAlign w:val="center"/>
          </w:tcPr>
          <w:p w14:paraId="670DD98D" w14:textId="77777777" w:rsidR="00561DFC" w:rsidRDefault="00561DFC" w:rsidP="004A0415">
            <w:pPr>
              <w:tabs>
                <w:tab w:val="clear" w:pos="284"/>
              </w:tabs>
              <w:autoSpaceDE w:val="0"/>
              <w:autoSpaceDN w:val="0"/>
              <w:adjustRightInd w:val="0"/>
              <w:spacing w:line="240" w:lineRule="auto"/>
              <w:rPr>
                <w:rFonts w:ascii="Calibri" w:eastAsia="Times New Roman" w:hAnsi="Calibri" w:cs="Calibri"/>
                <w:color w:val="000000"/>
                <w:sz w:val="22"/>
                <w:szCs w:val="22"/>
              </w:rPr>
            </w:pPr>
            <w:r>
              <w:rPr>
                <w:rFonts w:ascii="Calibri" w:hAnsi="Calibri" w:cs="Arial"/>
                <w:sz w:val="20"/>
                <w:szCs w:val="20"/>
              </w:rPr>
              <w:t>Bee House Creek</w:t>
            </w:r>
          </w:p>
        </w:tc>
        <w:tc>
          <w:tcPr>
            <w:tcW w:w="1710" w:type="dxa"/>
            <w:shd w:val="clear" w:color="auto" w:fill="F2F2F2" w:themeFill="background1" w:themeFillShade="F2"/>
            <w:vAlign w:val="center"/>
          </w:tcPr>
          <w:p w14:paraId="195FECE0" w14:textId="77777777" w:rsidR="00561DFC" w:rsidRPr="00574955" w:rsidRDefault="00561DFC" w:rsidP="004A0415">
            <w:pPr>
              <w:tabs>
                <w:tab w:val="clear" w:pos="284"/>
              </w:tabs>
              <w:autoSpaceDE w:val="0"/>
              <w:autoSpaceDN w:val="0"/>
              <w:adjustRightInd w:val="0"/>
              <w:spacing w:line="240" w:lineRule="auto"/>
              <w:jc w:val="center"/>
              <w:rPr>
                <w:rFonts w:ascii="Calibri" w:eastAsia="Times New Roman" w:hAnsi="Calibri" w:cs="Calibri"/>
                <w:color w:val="000000"/>
                <w:sz w:val="22"/>
                <w:szCs w:val="22"/>
              </w:rPr>
            </w:pPr>
            <w:r>
              <w:rPr>
                <w:rFonts w:ascii="Calibri" w:hAnsi="Calibri" w:cs="Arial"/>
                <w:sz w:val="20"/>
                <w:szCs w:val="20"/>
              </w:rPr>
              <w:t>120702020204</w:t>
            </w:r>
          </w:p>
        </w:tc>
        <w:tc>
          <w:tcPr>
            <w:tcW w:w="810" w:type="dxa"/>
            <w:shd w:val="clear" w:color="auto" w:fill="F2F2F2" w:themeFill="background1" w:themeFillShade="F2"/>
            <w:vAlign w:val="center"/>
          </w:tcPr>
          <w:p w14:paraId="100F05CD" w14:textId="6049206B" w:rsidR="00561DFC" w:rsidRDefault="00561DFC" w:rsidP="004A0415">
            <w:pPr>
              <w:jc w:val="center"/>
              <w:rPr>
                <w:rFonts w:ascii="Calibri" w:hAnsi="Calibri" w:cs="Arial"/>
                <w:sz w:val="20"/>
                <w:szCs w:val="20"/>
              </w:rPr>
            </w:pPr>
            <w:r>
              <w:rPr>
                <w:rFonts w:ascii="Calibri" w:hAnsi="Calibri" w:cs="Arial"/>
                <w:sz w:val="20"/>
                <w:szCs w:val="20"/>
              </w:rPr>
              <w:t>787</w:t>
            </w:r>
          </w:p>
        </w:tc>
        <w:tc>
          <w:tcPr>
            <w:tcW w:w="810" w:type="dxa"/>
            <w:shd w:val="clear" w:color="auto" w:fill="F2F2F2" w:themeFill="background1" w:themeFillShade="F2"/>
            <w:vAlign w:val="center"/>
          </w:tcPr>
          <w:p w14:paraId="2B5E3455" w14:textId="3880A0A5" w:rsidR="00561DFC" w:rsidRDefault="00561DFC" w:rsidP="004A0415">
            <w:pPr>
              <w:jc w:val="center"/>
              <w:rPr>
                <w:rFonts w:ascii="Calibri" w:hAnsi="Calibri" w:cs="Arial"/>
                <w:sz w:val="20"/>
                <w:szCs w:val="20"/>
              </w:rPr>
            </w:pPr>
            <w:r>
              <w:rPr>
                <w:rFonts w:ascii="Calibri" w:hAnsi="Calibri" w:cs="Arial"/>
                <w:sz w:val="20"/>
                <w:szCs w:val="20"/>
              </w:rPr>
              <w:t>88</w:t>
            </w:r>
          </w:p>
        </w:tc>
        <w:tc>
          <w:tcPr>
            <w:tcW w:w="810" w:type="dxa"/>
            <w:shd w:val="clear" w:color="auto" w:fill="F2F2F2" w:themeFill="background1" w:themeFillShade="F2"/>
            <w:vAlign w:val="center"/>
          </w:tcPr>
          <w:p w14:paraId="580A76D2" w14:textId="3FB80635" w:rsidR="00561DFC" w:rsidRDefault="00561DFC" w:rsidP="004A0415">
            <w:pPr>
              <w:jc w:val="center"/>
              <w:rPr>
                <w:rFonts w:ascii="Calibri" w:hAnsi="Calibri" w:cs="Arial"/>
                <w:sz w:val="20"/>
                <w:szCs w:val="20"/>
              </w:rPr>
            </w:pPr>
            <w:r>
              <w:rPr>
                <w:rFonts w:ascii="Calibri" w:hAnsi="Calibri" w:cs="Arial"/>
                <w:sz w:val="20"/>
                <w:szCs w:val="20"/>
              </w:rPr>
              <w:t>699</w:t>
            </w:r>
          </w:p>
        </w:tc>
        <w:tc>
          <w:tcPr>
            <w:tcW w:w="720" w:type="dxa"/>
            <w:shd w:val="clear" w:color="auto" w:fill="F2F2F2" w:themeFill="background1" w:themeFillShade="F2"/>
            <w:vAlign w:val="center"/>
          </w:tcPr>
          <w:p w14:paraId="247D3D3E" w14:textId="643AEFF1" w:rsidR="00561DFC" w:rsidRDefault="00561DFC" w:rsidP="004A041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89%</w:t>
            </w:r>
          </w:p>
        </w:tc>
        <w:tc>
          <w:tcPr>
            <w:tcW w:w="1350" w:type="dxa"/>
            <w:shd w:val="clear" w:color="auto" w:fill="F2F2F2" w:themeFill="background1" w:themeFillShade="F2"/>
            <w:vAlign w:val="center"/>
          </w:tcPr>
          <w:p w14:paraId="73A33D06" w14:textId="4A86BF1D" w:rsidR="00561DFC" w:rsidRPr="00574955" w:rsidRDefault="00561DFC" w:rsidP="004A0415">
            <w:pPr>
              <w:tabs>
                <w:tab w:val="clear" w:pos="284"/>
              </w:tabs>
              <w:autoSpaceDE w:val="0"/>
              <w:autoSpaceDN w:val="0"/>
              <w:adjustRightInd w:val="0"/>
              <w:spacing w:line="240" w:lineRule="auto"/>
              <w:jc w:val="center"/>
              <w:rPr>
                <w:rFonts w:ascii="Calibri" w:eastAsia="Times New Roman" w:hAnsi="Calibri" w:cs="Calibri"/>
                <w:color w:val="000000"/>
                <w:sz w:val="22"/>
                <w:szCs w:val="22"/>
              </w:rPr>
            </w:pPr>
            <w:r>
              <w:rPr>
                <w:rFonts w:ascii="Calibri" w:hAnsi="Calibri" w:cs="Arial"/>
                <w:sz w:val="20"/>
                <w:szCs w:val="20"/>
              </w:rPr>
              <w:t>Pass</w:t>
            </w:r>
          </w:p>
        </w:tc>
        <w:tc>
          <w:tcPr>
            <w:tcW w:w="990" w:type="dxa"/>
            <w:shd w:val="clear" w:color="auto" w:fill="F2F2F2" w:themeFill="background1" w:themeFillShade="F2"/>
            <w:vAlign w:val="center"/>
          </w:tcPr>
          <w:p w14:paraId="586916A6" w14:textId="7FC8BC32" w:rsidR="00561DFC" w:rsidRPr="00F05AAD" w:rsidRDefault="00561DFC" w:rsidP="004A041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5.6</w:t>
            </w:r>
          </w:p>
        </w:tc>
      </w:tr>
      <w:tr w:rsidR="00561DFC" w:rsidRPr="00F05AAD" w14:paraId="5F0E19C8" w14:textId="77777777" w:rsidTr="008A47D0">
        <w:trPr>
          <w:trHeight w:val="413"/>
          <w:jc w:val="center"/>
        </w:trPr>
        <w:tc>
          <w:tcPr>
            <w:tcW w:w="2790" w:type="dxa"/>
            <w:tcBorders>
              <w:bottom w:val="single" w:sz="4" w:space="0" w:color="808080" w:themeColor="background1" w:themeShade="80"/>
            </w:tcBorders>
            <w:shd w:val="clear" w:color="auto" w:fill="auto"/>
            <w:vAlign w:val="center"/>
          </w:tcPr>
          <w:p w14:paraId="7D791A36" w14:textId="77777777" w:rsidR="00561DFC" w:rsidRDefault="00561DFC" w:rsidP="004A0415">
            <w:pPr>
              <w:tabs>
                <w:tab w:val="clear" w:pos="284"/>
              </w:tabs>
              <w:autoSpaceDE w:val="0"/>
              <w:autoSpaceDN w:val="0"/>
              <w:adjustRightInd w:val="0"/>
              <w:spacing w:line="240" w:lineRule="auto"/>
              <w:rPr>
                <w:rFonts w:ascii="Calibri" w:eastAsia="Times New Roman" w:hAnsi="Calibri" w:cs="Calibri"/>
                <w:color w:val="000000"/>
                <w:sz w:val="22"/>
                <w:szCs w:val="22"/>
              </w:rPr>
            </w:pPr>
            <w:r>
              <w:rPr>
                <w:rFonts w:ascii="Calibri" w:hAnsi="Calibri" w:cs="Arial"/>
                <w:sz w:val="20"/>
                <w:szCs w:val="20"/>
              </w:rPr>
              <w:t>Browns Creek-Cowhouse Creek</w:t>
            </w:r>
          </w:p>
        </w:tc>
        <w:tc>
          <w:tcPr>
            <w:tcW w:w="1710" w:type="dxa"/>
            <w:tcBorders>
              <w:bottom w:val="single" w:sz="4" w:space="0" w:color="808080" w:themeColor="background1" w:themeShade="80"/>
            </w:tcBorders>
            <w:shd w:val="clear" w:color="auto" w:fill="auto"/>
            <w:vAlign w:val="center"/>
          </w:tcPr>
          <w:p w14:paraId="29EF7C2F" w14:textId="77777777" w:rsidR="00561DFC" w:rsidRPr="00574955" w:rsidRDefault="00561DFC" w:rsidP="004A0415">
            <w:pPr>
              <w:tabs>
                <w:tab w:val="clear" w:pos="284"/>
              </w:tabs>
              <w:autoSpaceDE w:val="0"/>
              <w:autoSpaceDN w:val="0"/>
              <w:adjustRightInd w:val="0"/>
              <w:spacing w:line="240" w:lineRule="auto"/>
              <w:jc w:val="center"/>
              <w:rPr>
                <w:rFonts w:ascii="Calibri" w:eastAsia="Times New Roman" w:hAnsi="Calibri" w:cs="Calibri"/>
                <w:color w:val="000000"/>
                <w:sz w:val="22"/>
                <w:szCs w:val="22"/>
              </w:rPr>
            </w:pPr>
            <w:r>
              <w:rPr>
                <w:rFonts w:ascii="Calibri" w:hAnsi="Calibri" w:cs="Arial"/>
                <w:sz w:val="20"/>
                <w:szCs w:val="20"/>
              </w:rPr>
              <w:t>120702020306</w:t>
            </w:r>
          </w:p>
        </w:tc>
        <w:tc>
          <w:tcPr>
            <w:tcW w:w="810" w:type="dxa"/>
            <w:tcBorders>
              <w:bottom w:val="single" w:sz="4" w:space="0" w:color="808080" w:themeColor="background1" w:themeShade="80"/>
            </w:tcBorders>
            <w:shd w:val="clear" w:color="auto" w:fill="auto"/>
            <w:vAlign w:val="center"/>
          </w:tcPr>
          <w:p w14:paraId="637BE692" w14:textId="47468E4B" w:rsidR="00561DFC" w:rsidRDefault="00561DFC" w:rsidP="004A0415">
            <w:pPr>
              <w:jc w:val="center"/>
              <w:rPr>
                <w:rFonts w:ascii="Calibri" w:hAnsi="Calibri" w:cs="Arial"/>
                <w:sz w:val="20"/>
                <w:szCs w:val="20"/>
              </w:rPr>
            </w:pPr>
            <w:r>
              <w:rPr>
                <w:rFonts w:ascii="Calibri" w:hAnsi="Calibri" w:cs="Arial"/>
                <w:sz w:val="20"/>
                <w:szCs w:val="20"/>
              </w:rPr>
              <w:t>2,041</w:t>
            </w:r>
          </w:p>
        </w:tc>
        <w:tc>
          <w:tcPr>
            <w:tcW w:w="810" w:type="dxa"/>
            <w:tcBorders>
              <w:bottom w:val="single" w:sz="4" w:space="0" w:color="808080" w:themeColor="background1" w:themeShade="80"/>
            </w:tcBorders>
            <w:shd w:val="clear" w:color="auto" w:fill="auto"/>
            <w:vAlign w:val="center"/>
          </w:tcPr>
          <w:p w14:paraId="23496487" w14:textId="04706270" w:rsidR="00561DFC" w:rsidRDefault="00561DFC" w:rsidP="004A0415">
            <w:pPr>
              <w:jc w:val="center"/>
              <w:rPr>
                <w:rFonts w:ascii="Calibri" w:hAnsi="Calibri" w:cs="Arial"/>
                <w:sz w:val="20"/>
                <w:szCs w:val="20"/>
              </w:rPr>
            </w:pPr>
            <w:r>
              <w:rPr>
                <w:rFonts w:ascii="Calibri" w:hAnsi="Calibri" w:cs="Arial"/>
                <w:sz w:val="20"/>
                <w:szCs w:val="20"/>
              </w:rPr>
              <w:t>116</w:t>
            </w:r>
          </w:p>
        </w:tc>
        <w:tc>
          <w:tcPr>
            <w:tcW w:w="810" w:type="dxa"/>
            <w:tcBorders>
              <w:bottom w:val="single" w:sz="4" w:space="0" w:color="808080" w:themeColor="background1" w:themeShade="80"/>
            </w:tcBorders>
            <w:shd w:val="clear" w:color="auto" w:fill="auto"/>
            <w:vAlign w:val="center"/>
          </w:tcPr>
          <w:p w14:paraId="51A261B0" w14:textId="666F2A72" w:rsidR="00561DFC" w:rsidRDefault="00561DFC" w:rsidP="004A0415">
            <w:pPr>
              <w:jc w:val="center"/>
              <w:rPr>
                <w:rFonts w:ascii="Calibri" w:hAnsi="Calibri" w:cs="Arial"/>
                <w:sz w:val="20"/>
                <w:szCs w:val="20"/>
              </w:rPr>
            </w:pPr>
            <w:r>
              <w:rPr>
                <w:rFonts w:ascii="Calibri" w:hAnsi="Calibri" w:cs="Arial"/>
                <w:sz w:val="20"/>
                <w:szCs w:val="20"/>
              </w:rPr>
              <w:t>1,925</w:t>
            </w:r>
          </w:p>
        </w:tc>
        <w:tc>
          <w:tcPr>
            <w:tcW w:w="720" w:type="dxa"/>
            <w:tcBorders>
              <w:bottom w:val="single" w:sz="4" w:space="0" w:color="808080" w:themeColor="background1" w:themeShade="80"/>
            </w:tcBorders>
            <w:shd w:val="clear" w:color="auto" w:fill="auto"/>
            <w:vAlign w:val="center"/>
          </w:tcPr>
          <w:p w14:paraId="5D8A8430" w14:textId="40C7E217" w:rsidR="00561DFC" w:rsidRDefault="00561DFC" w:rsidP="004A041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94%</w:t>
            </w:r>
          </w:p>
        </w:tc>
        <w:tc>
          <w:tcPr>
            <w:tcW w:w="1350" w:type="dxa"/>
            <w:tcBorders>
              <w:bottom w:val="single" w:sz="4" w:space="0" w:color="808080" w:themeColor="background1" w:themeShade="80"/>
            </w:tcBorders>
            <w:shd w:val="clear" w:color="auto" w:fill="auto"/>
            <w:vAlign w:val="center"/>
          </w:tcPr>
          <w:p w14:paraId="25FE0AD1" w14:textId="660CF51D" w:rsidR="00561DFC" w:rsidRPr="00574955" w:rsidRDefault="00561DFC" w:rsidP="004A0415">
            <w:pPr>
              <w:tabs>
                <w:tab w:val="clear" w:pos="284"/>
              </w:tabs>
              <w:autoSpaceDE w:val="0"/>
              <w:autoSpaceDN w:val="0"/>
              <w:adjustRightInd w:val="0"/>
              <w:spacing w:line="240" w:lineRule="auto"/>
              <w:jc w:val="center"/>
              <w:rPr>
                <w:rFonts w:ascii="Calibri" w:eastAsia="Times New Roman" w:hAnsi="Calibri" w:cs="Calibri"/>
                <w:color w:val="000000"/>
                <w:sz w:val="22"/>
                <w:szCs w:val="22"/>
              </w:rPr>
            </w:pPr>
            <w:r>
              <w:rPr>
                <w:rFonts w:ascii="Calibri" w:hAnsi="Calibri" w:cs="Arial"/>
                <w:sz w:val="20"/>
                <w:szCs w:val="20"/>
              </w:rPr>
              <w:t>Pass</w:t>
            </w:r>
          </w:p>
        </w:tc>
        <w:tc>
          <w:tcPr>
            <w:tcW w:w="990" w:type="dxa"/>
            <w:tcBorders>
              <w:bottom w:val="single" w:sz="4" w:space="0" w:color="808080" w:themeColor="background1" w:themeShade="80"/>
            </w:tcBorders>
            <w:shd w:val="clear" w:color="auto" w:fill="auto"/>
            <w:vAlign w:val="center"/>
          </w:tcPr>
          <w:p w14:paraId="1DF1C48D" w14:textId="7BB0E613" w:rsidR="00561DFC" w:rsidRPr="00F05AAD" w:rsidRDefault="00561DFC" w:rsidP="004A041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1.4</w:t>
            </w:r>
          </w:p>
        </w:tc>
      </w:tr>
      <w:tr w:rsidR="00561DFC" w:rsidRPr="00F05AAD" w14:paraId="1DD5F879" w14:textId="77777777" w:rsidTr="004A0415">
        <w:trPr>
          <w:trHeight w:val="413"/>
          <w:jc w:val="center"/>
        </w:trPr>
        <w:tc>
          <w:tcPr>
            <w:tcW w:w="279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F2F2F2" w:themeFill="background1" w:themeFillShade="F2"/>
            <w:vAlign w:val="center"/>
          </w:tcPr>
          <w:p w14:paraId="3AFFEF37" w14:textId="77777777" w:rsidR="00561DFC" w:rsidRDefault="00561DFC" w:rsidP="004A0415">
            <w:pPr>
              <w:tabs>
                <w:tab w:val="clear" w:pos="284"/>
              </w:tabs>
              <w:autoSpaceDE w:val="0"/>
              <w:autoSpaceDN w:val="0"/>
              <w:adjustRightInd w:val="0"/>
              <w:spacing w:line="240" w:lineRule="auto"/>
              <w:rPr>
                <w:rFonts w:ascii="Calibri" w:eastAsia="Times New Roman" w:hAnsi="Calibri" w:cs="Calibri"/>
                <w:color w:val="000000"/>
                <w:sz w:val="22"/>
                <w:szCs w:val="22"/>
              </w:rPr>
            </w:pPr>
            <w:r>
              <w:rPr>
                <w:rFonts w:ascii="Calibri" w:hAnsi="Calibri" w:cs="Arial"/>
                <w:sz w:val="20"/>
                <w:szCs w:val="20"/>
              </w:rPr>
              <w:t>Clear Creek</w:t>
            </w:r>
          </w:p>
        </w:tc>
        <w:tc>
          <w:tcPr>
            <w:tcW w:w="171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F2F2F2" w:themeFill="background1" w:themeFillShade="F2"/>
            <w:vAlign w:val="center"/>
          </w:tcPr>
          <w:p w14:paraId="0788D77E" w14:textId="77777777" w:rsidR="00561DFC" w:rsidRPr="00574955" w:rsidRDefault="00561DFC" w:rsidP="004A0415">
            <w:pPr>
              <w:tabs>
                <w:tab w:val="clear" w:pos="284"/>
              </w:tabs>
              <w:autoSpaceDE w:val="0"/>
              <w:autoSpaceDN w:val="0"/>
              <w:adjustRightInd w:val="0"/>
              <w:spacing w:line="240" w:lineRule="auto"/>
              <w:jc w:val="center"/>
              <w:rPr>
                <w:rFonts w:ascii="Calibri" w:eastAsia="Times New Roman" w:hAnsi="Calibri" w:cs="Calibri"/>
                <w:color w:val="000000"/>
                <w:sz w:val="22"/>
                <w:szCs w:val="22"/>
              </w:rPr>
            </w:pPr>
            <w:r>
              <w:rPr>
                <w:rFonts w:ascii="Calibri" w:hAnsi="Calibri" w:cs="Arial"/>
                <w:sz w:val="20"/>
                <w:szCs w:val="20"/>
              </w:rPr>
              <w:t>120702020303</w:t>
            </w:r>
          </w:p>
        </w:tc>
        <w:tc>
          <w:tcPr>
            <w:tcW w:w="81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F2F2F2" w:themeFill="background1" w:themeFillShade="F2"/>
            <w:vAlign w:val="center"/>
          </w:tcPr>
          <w:p w14:paraId="27BFAD54" w14:textId="1CA13E36" w:rsidR="00561DFC" w:rsidRDefault="00561DFC" w:rsidP="004A0415">
            <w:pPr>
              <w:jc w:val="center"/>
              <w:rPr>
                <w:rFonts w:ascii="Calibri" w:hAnsi="Calibri" w:cs="Arial"/>
                <w:sz w:val="20"/>
                <w:szCs w:val="20"/>
              </w:rPr>
            </w:pPr>
            <w:r>
              <w:rPr>
                <w:rFonts w:ascii="Calibri" w:hAnsi="Calibri" w:cs="Arial"/>
                <w:sz w:val="20"/>
                <w:szCs w:val="20"/>
              </w:rPr>
              <w:t>802</w:t>
            </w:r>
          </w:p>
        </w:tc>
        <w:tc>
          <w:tcPr>
            <w:tcW w:w="81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F2F2F2" w:themeFill="background1" w:themeFillShade="F2"/>
            <w:vAlign w:val="center"/>
          </w:tcPr>
          <w:p w14:paraId="7F693DF6" w14:textId="526FD13D" w:rsidR="00561DFC" w:rsidRDefault="00561DFC" w:rsidP="004A0415">
            <w:pPr>
              <w:jc w:val="center"/>
              <w:rPr>
                <w:rFonts w:ascii="Calibri" w:hAnsi="Calibri" w:cs="Arial"/>
                <w:sz w:val="20"/>
                <w:szCs w:val="20"/>
              </w:rPr>
            </w:pPr>
            <w:r>
              <w:rPr>
                <w:rFonts w:ascii="Calibri" w:hAnsi="Calibri" w:cs="Arial"/>
                <w:sz w:val="20"/>
                <w:szCs w:val="20"/>
              </w:rPr>
              <w:t>47</w:t>
            </w:r>
          </w:p>
        </w:tc>
        <w:tc>
          <w:tcPr>
            <w:tcW w:w="81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F2F2F2" w:themeFill="background1" w:themeFillShade="F2"/>
            <w:vAlign w:val="center"/>
          </w:tcPr>
          <w:p w14:paraId="037B0D64" w14:textId="6D90DCC1" w:rsidR="00561DFC" w:rsidRDefault="00561DFC" w:rsidP="004A0415">
            <w:pPr>
              <w:jc w:val="center"/>
              <w:rPr>
                <w:rFonts w:ascii="Calibri" w:hAnsi="Calibri" w:cs="Arial"/>
                <w:sz w:val="20"/>
                <w:szCs w:val="20"/>
              </w:rPr>
            </w:pPr>
            <w:r>
              <w:rPr>
                <w:rFonts w:ascii="Calibri" w:hAnsi="Calibri" w:cs="Arial"/>
                <w:sz w:val="20"/>
                <w:szCs w:val="20"/>
              </w:rPr>
              <w:t>755</w:t>
            </w:r>
          </w:p>
        </w:tc>
        <w:tc>
          <w:tcPr>
            <w:tcW w:w="72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F2F2F2" w:themeFill="background1" w:themeFillShade="F2"/>
            <w:vAlign w:val="center"/>
          </w:tcPr>
          <w:p w14:paraId="22BD74F2" w14:textId="4C5411E7" w:rsidR="00561DFC" w:rsidRDefault="00561DFC" w:rsidP="004A041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94%</w:t>
            </w:r>
          </w:p>
        </w:tc>
        <w:tc>
          <w:tcPr>
            <w:tcW w:w="135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F2F2F2" w:themeFill="background1" w:themeFillShade="F2"/>
            <w:vAlign w:val="center"/>
          </w:tcPr>
          <w:p w14:paraId="593C238E" w14:textId="32C62D7D" w:rsidR="00561DFC" w:rsidRPr="00574955" w:rsidRDefault="00561DFC" w:rsidP="004A0415">
            <w:pPr>
              <w:tabs>
                <w:tab w:val="clear" w:pos="284"/>
              </w:tabs>
              <w:autoSpaceDE w:val="0"/>
              <w:autoSpaceDN w:val="0"/>
              <w:adjustRightInd w:val="0"/>
              <w:spacing w:line="240" w:lineRule="auto"/>
              <w:jc w:val="center"/>
              <w:rPr>
                <w:rFonts w:ascii="Calibri" w:eastAsia="Times New Roman" w:hAnsi="Calibri" w:cs="Calibri"/>
                <w:color w:val="000000"/>
                <w:sz w:val="22"/>
                <w:szCs w:val="22"/>
              </w:rPr>
            </w:pPr>
            <w:r>
              <w:rPr>
                <w:rFonts w:ascii="Calibri" w:hAnsi="Calibri" w:cs="Arial"/>
                <w:sz w:val="20"/>
                <w:szCs w:val="20"/>
              </w:rPr>
              <w:t>Pass</w:t>
            </w:r>
          </w:p>
        </w:tc>
        <w:tc>
          <w:tcPr>
            <w:tcW w:w="99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F2F2F2" w:themeFill="background1" w:themeFillShade="F2"/>
            <w:vAlign w:val="center"/>
          </w:tcPr>
          <w:p w14:paraId="732CEEE7" w14:textId="63D951EE" w:rsidR="00561DFC" w:rsidRPr="00F05AAD" w:rsidRDefault="00561DFC" w:rsidP="004A041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1.5</w:t>
            </w:r>
          </w:p>
        </w:tc>
      </w:tr>
      <w:tr w:rsidR="00561DFC" w:rsidRPr="00F05AAD" w14:paraId="5662EEA9" w14:textId="77777777" w:rsidTr="008A47D0">
        <w:trPr>
          <w:trHeight w:val="413"/>
          <w:jc w:val="center"/>
        </w:trPr>
        <w:tc>
          <w:tcPr>
            <w:tcW w:w="2790" w:type="dxa"/>
            <w:tcBorders>
              <w:top w:val="single" w:sz="4" w:space="0" w:color="808080" w:themeColor="background1" w:themeShade="80"/>
            </w:tcBorders>
            <w:shd w:val="clear" w:color="auto" w:fill="auto"/>
            <w:vAlign w:val="center"/>
          </w:tcPr>
          <w:p w14:paraId="34AA0AA8" w14:textId="77777777" w:rsidR="00561DFC" w:rsidRDefault="00561DFC" w:rsidP="004A0415">
            <w:pPr>
              <w:tabs>
                <w:tab w:val="clear" w:pos="284"/>
              </w:tabs>
              <w:autoSpaceDE w:val="0"/>
              <w:autoSpaceDN w:val="0"/>
              <w:adjustRightInd w:val="0"/>
              <w:spacing w:line="240" w:lineRule="auto"/>
              <w:rPr>
                <w:rFonts w:ascii="Calibri" w:eastAsia="Times New Roman" w:hAnsi="Calibri" w:cs="Calibri"/>
                <w:color w:val="000000"/>
                <w:sz w:val="22"/>
                <w:szCs w:val="22"/>
              </w:rPr>
            </w:pPr>
            <w:r>
              <w:rPr>
                <w:rFonts w:ascii="Calibri" w:hAnsi="Calibri" w:cs="Arial"/>
                <w:sz w:val="20"/>
                <w:szCs w:val="20"/>
              </w:rPr>
              <w:t>Cowhouse Creek-Belton Lake</w:t>
            </w:r>
          </w:p>
        </w:tc>
        <w:tc>
          <w:tcPr>
            <w:tcW w:w="1710" w:type="dxa"/>
            <w:tcBorders>
              <w:top w:val="single" w:sz="4" w:space="0" w:color="808080" w:themeColor="background1" w:themeShade="80"/>
            </w:tcBorders>
            <w:shd w:val="clear" w:color="auto" w:fill="auto"/>
            <w:vAlign w:val="center"/>
          </w:tcPr>
          <w:p w14:paraId="7A679A8E" w14:textId="77777777" w:rsidR="00561DFC" w:rsidRPr="00574955" w:rsidRDefault="00561DFC" w:rsidP="004A0415">
            <w:pPr>
              <w:tabs>
                <w:tab w:val="clear" w:pos="284"/>
              </w:tabs>
              <w:autoSpaceDE w:val="0"/>
              <w:autoSpaceDN w:val="0"/>
              <w:adjustRightInd w:val="0"/>
              <w:spacing w:line="240" w:lineRule="auto"/>
              <w:jc w:val="center"/>
              <w:rPr>
                <w:rFonts w:ascii="Calibri" w:eastAsia="Times New Roman" w:hAnsi="Calibri" w:cs="Calibri"/>
                <w:color w:val="000000"/>
                <w:sz w:val="22"/>
                <w:szCs w:val="22"/>
              </w:rPr>
            </w:pPr>
            <w:r>
              <w:rPr>
                <w:rFonts w:ascii="Calibri" w:hAnsi="Calibri" w:cs="Arial"/>
                <w:sz w:val="20"/>
                <w:szCs w:val="20"/>
              </w:rPr>
              <w:t>120702020307</w:t>
            </w:r>
          </w:p>
        </w:tc>
        <w:tc>
          <w:tcPr>
            <w:tcW w:w="810" w:type="dxa"/>
            <w:tcBorders>
              <w:top w:val="single" w:sz="4" w:space="0" w:color="808080" w:themeColor="background1" w:themeShade="80"/>
            </w:tcBorders>
            <w:shd w:val="clear" w:color="auto" w:fill="auto"/>
            <w:vAlign w:val="center"/>
          </w:tcPr>
          <w:p w14:paraId="73A13D62" w14:textId="793BB4E9" w:rsidR="00561DFC" w:rsidRDefault="00561DFC" w:rsidP="004A0415">
            <w:pPr>
              <w:jc w:val="center"/>
              <w:rPr>
                <w:rFonts w:ascii="Calibri" w:hAnsi="Calibri" w:cs="Arial"/>
                <w:sz w:val="20"/>
                <w:szCs w:val="20"/>
              </w:rPr>
            </w:pPr>
            <w:r>
              <w:rPr>
                <w:rFonts w:ascii="Calibri" w:hAnsi="Calibri" w:cs="Arial"/>
                <w:sz w:val="20"/>
                <w:szCs w:val="20"/>
              </w:rPr>
              <w:t>956</w:t>
            </w:r>
          </w:p>
        </w:tc>
        <w:tc>
          <w:tcPr>
            <w:tcW w:w="810" w:type="dxa"/>
            <w:tcBorders>
              <w:top w:val="single" w:sz="4" w:space="0" w:color="808080" w:themeColor="background1" w:themeShade="80"/>
            </w:tcBorders>
            <w:shd w:val="clear" w:color="auto" w:fill="auto"/>
            <w:vAlign w:val="center"/>
          </w:tcPr>
          <w:p w14:paraId="0BBCC5ED" w14:textId="28326B4A" w:rsidR="00561DFC" w:rsidRDefault="00561DFC" w:rsidP="004A0415">
            <w:pPr>
              <w:jc w:val="center"/>
              <w:rPr>
                <w:rFonts w:ascii="Calibri" w:hAnsi="Calibri" w:cs="Arial"/>
                <w:sz w:val="20"/>
                <w:szCs w:val="20"/>
              </w:rPr>
            </w:pPr>
            <w:r>
              <w:rPr>
                <w:rFonts w:ascii="Calibri" w:hAnsi="Calibri" w:cs="Arial"/>
                <w:sz w:val="20"/>
                <w:szCs w:val="20"/>
              </w:rPr>
              <w:t>220</w:t>
            </w:r>
          </w:p>
        </w:tc>
        <w:tc>
          <w:tcPr>
            <w:tcW w:w="810" w:type="dxa"/>
            <w:tcBorders>
              <w:top w:val="single" w:sz="4" w:space="0" w:color="808080" w:themeColor="background1" w:themeShade="80"/>
            </w:tcBorders>
            <w:shd w:val="clear" w:color="auto" w:fill="auto"/>
            <w:vAlign w:val="center"/>
          </w:tcPr>
          <w:p w14:paraId="6401C92C" w14:textId="18DCF0C3" w:rsidR="00561DFC" w:rsidRDefault="00561DFC" w:rsidP="004A0415">
            <w:pPr>
              <w:jc w:val="center"/>
              <w:rPr>
                <w:rFonts w:ascii="Calibri" w:hAnsi="Calibri" w:cs="Arial"/>
                <w:sz w:val="20"/>
                <w:szCs w:val="20"/>
              </w:rPr>
            </w:pPr>
            <w:r>
              <w:rPr>
                <w:rFonts w:ascii="Calibri" w:hAnsi="Calibri" w:cs="Arial"/>
                <w:sz w:val="20"/>
                <w:szCs w:val="20"/>
              </w:rPr>
              <w:t>736</w:t>
            </w:r>
          </w:p>
        </w:tc>
        <w:tc>
          <w:tcPr>
            <w:tcW w:w="720" w:type="dxa"/>
            <w:tcBorders>
              <w:top w:val="single" w:sz="4" w:space="0" w:color="808080" w:themeColor="background1" w:themeShade="80"/>
            </w:tcBorders>
            <w:shd w:val="clear" w:color="auto" w:fill="auto"/>
            <w:vAlign w:val="center"/>
          </w:tcPr>
          <w:p w14:paraId="338F800A" w14:textId="67D2C0C4" w:rsidR="00561DFC" w:rsidRDefault="00561DFC" w:rsidP="004A041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77%</w:t>
            </w:r>
          </w:p>
        </w:tc>
        <w:tc>
          <w:tcPr>
            <w:tcW w:w="1350" w:type="dxa"/>
            <w:tcBorders>
              <w:top w:val="single" w:sz="4" w:space="0" w:color="808080" w:themeColor="background1" w:themeShade="80"/>
            </w:tcBorders>
            <w:shd w:val="clear" w:color="auto" w:fill="auto"/>
            <w:vAlign w:val="center"/>
          </w:tcPr>
          <w:p w14:paraId="232FDE6B" w14:textId="1AD763E0" w:rsidR="00561DFC" w:rsidRPr="00574955" w:rsidRDefault="00561DFC" w:rsidP="004A0415">
            <w:pPr>
              <w:tabs>
                <w:tab w:val="clear" w:pos="284"/>
              </w:tabs>
              <w:autoSpaceDE w:val="0"/>
              <w:autoSpaceDN w:val="0"/>
              <w:adjustRightInd w:val="0"/>
              <w:spacing w:line="240" w:lineRule="auto"/>
              <w:jc w:val="center"/>
              <w:rPr>
                <w:rFonts w:ascii="Calibri" w:eastAsia="Times New Roman" w:hAnsi="Calibri" w:cs="Calibri"/>
                <w:color w:val="000000"/>
                <w:sz w:val="22"/>
                <w:szCs w:val="22"/>
              </w:rPr>
            </w:pPr>
            <w:r>
              <w:rPr>
                <w:rFonts w:ascii="Calibri" w:hAnsi="Calibri" w:cs="Arial"/>
                <w:sz w:val="20"/>
                <w:szCs w:val="20"/>
              </w:rPr>
              <w:t>Fail</w:t>
            </w:r>
          </w:p>
        </w:tc>
        <w:tc>
          <w:tcPr>
            <w:tcW w:w="990" w:type="dxa"/>
            <w:tcBorders>
              <w:top w:val="single" w:sz="4" w:space="0" w:color="808080" w:themeColor="background1" w:themeShade="80"/>
            </w:tcBorders>
            <w:shd w:val="clear" w:color="auto" w:fill="auto"/>
            <w:vAlign w:val="center"/>
          </w:tcPr>
          <w:p w14:paraId="7E748017" w14:textId="5135FE9A" w:rsidR="00561DFC" w:rsidRPr="00F05AAD" w:rsidRDefault="00561DFC" w:rsidP="004A041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7.5</w:t>
            </w:r>
          </w:p>
        </w:tc>
      </w:tr>
      <w:tr w:rsidR="00561DFC" w:rsidRPr="00F05AAD" w14:paraId="1A900994" w14:textId="77777777" w:rsidTr="004A0415">
        <w:trPr>
          <w:trHeight w:val="413"/>
          <w:jc w:val="center"/>
        </w:trPr>
        <w:tc>
          <w:tcPr>
            <w:tcW w:w="2790" w:type="dxa"/>
            <w:shd w:val="clear" w:color="auto" w:fill="F2F2F2" w:themeFill="background1" w:themeFillShade="F2"/>
            <w:vAlign w:val="center"/>
          </w:tcPr>
          <w:p w14:paraId="2C6AB06C" w14:textId="77777777" w:rsidR="00561DFC" w:rsidRDefault="00561DFC" w:rsidP="004A0415">
            <w:pPr>
              <w:tabs>
                <w:tab w:val="clear" w:pos="284"/>
              </w:tabs>
              <w:autoSpaceDE w:val="0"/>
              <w:autoSpaceDN w:val="0"/>
              <w:adjustRightInd w:val="0"/>
              <w:spacing w:line="240" w:lineRule="auto"/>
              <w:rPr>
                <w:rFonts w:ascii="Calibri" w:eastAsia="Times New Roman" w:hAnsi="Calibri" w:cs="Calibri"/>
                <w:color w:val="000000"/>
                <w:sz w:val="22"/>
                <w:szCs w:val="22"/>
              </w:rPr>
            </w:pPr>
            <w:r>
              <w:rPr>
                <w:rFonts w:ascii="Calibri" w:hAnsi="Calibri" w:cs="Arial"/>
                <w:sz w:val="20"/>
                <w:szCs w:val="20"/>
              </w:rPr>
              <w:t>Dry Branch-Cowhouse Creek</w:t>
            </w:r>
          </w:p>
        </w:tc>
        <w:tc>
          <w:tcPr>
            <w:tcW w:w="1710" w:type="dxa"/>
            <w:shd w:val="clear" w:color="auto" w:fill="F2F2F2" w:themeFill="background1" w:themeFillShade="F2"/>
            <w:vAlign w:val="center"/>
          </w:tcPr>
          <w:p w14:paraId="13FEEFB6" w14:textId="77777777" w:rsidR="00561DFC" w:rsidRPr="00574955" w:rsidRDefault="00561DFC" w:rsidP="004A0415">
            <w:pPr>
              <w:tabs>
                <w:tab w:val="clear" w:pos="284"/>
              </w:tabs>
              <w:autoSpaceDE w:val="0"/>
              <w:autoSpaceDN w:val="0"/>
              <w:adjustRightInd w:val="0"/>
              <w:spacing w:line="240" w:lineRule="auto"/>
              <w:jc w:val="center"/>
              <w:rPr>
                <w:rFonts w:ascii="Calibri" w:eastAsia="Times New Roman" w:hAnsi="Calibri" w:cs="Calibri"/>
                <w:color w:val="000000"/>
                <w:sz w:val="22"/>
                <w:szCs w:val="22"/>
              </w:rPr>
            </w:pPr>
            <w:r>
              <w:rPr>
                <w:rFonts w:ascii="Calibri" w:hAnsi="Calibri" w:cs="Arial"/>
                <w:sz w:val="20"/>
                <w:szCs w:val="20"/>
              </w:rPr>
              <w:t>120702020106</w:t>
            </w:r>
          </w:p>
        </w:tc>
        <w:tc>
          <w:tcPr>
            <w:tcW w:w="810" w:type="dxa"/>
            <w:shd w:val="clear" w:color="auto" w:fill="F2F2F2" w:themeFill="background1" w:themeFillShade="F2"/>
            <w:vAlign w:val="center"/>
          </w:tcPr>
          <w:p w14:paraId="363ECFBE" w14:textId="708F5DD3" w:rsidR="00561DFC" w:rsidRDefault="00561DFC" w:rsidP="004A0415">
            <w:pPr>
              <w:jc w:val="center"/>
              <w:rPr>
                <w:rFonts w:ascii="Calibri" w:hAnsi="Calibri" w:cs="Arial"/>
                <w:sz w:val="20"/>
                <w:szCs w:val="20"/>
              </w:rPr>
            </w:pPr>
            <w:r>
              <w:rPr>
                <w:rFonts w:ascii="Calibri" w:hAnsi="Calibri" w:cs="Arial"/>
                <w:sz w:val="20"/>
                <w:szCs w:val="20"/>
              </w:rPr>
              <w:t>323</w:t>
            </w:r>
          </w:p>
        </w:tc>
        <w:tc>
          <w:tcPr>
            <w:tcW w:w="810" w:type="dxa"/>
            <w:shd w:val="clear" w:color="auto" w:fill="F2F2F2" w:themeFill="background1" w:themeFillShade="F2"/>
            <w:vAlign w:val="center"/>
          </w:tcPr>
          <w:p w14:paraId="22B46F76" w14:textId="3235EF28" w:rsidR="00561DFC" w:rsidRDefault="00561DFC" w:rsidP="004A0415">
            <w:pPr>
              <w:jc w:val="center"/>
              <w:rPr>
                <w:rFonts w:ascii="Calibri" w:hAnsi="Calibri" w:cs="Arial"/>
                <w:sz w:val="20"/>
                <w:szCs w:val="20"/>
              </w:rPr>
            </w:pPr>
            <w:r>
              <w:rPr>
                <w:rFonts w:ascii="Calibri" w:hAnsi="Calibri" w:cs="Arial"/>
                <w:sz w:val="20"/>
                <w:szCs w:val="20"/>
              </w:rPr>
              <w:t>16</w:t>
            </w:r>
          </w:p>
        </w:tc>
        <w:tc>
          <w:tcPr>
            <w:tcW w:w="810" w:type="dxa"/>
            <w:shd w:val="clear" w:color="auto" w:fill="F2F2F2" w:themeFill="background1" w:themeFillShade="F2"/>
            <w:vAlign w:val="center"/>
          </w:tcPr>
          <w:p w14:paraId="7F24C79F" w14:textId="48AD3144" w:rsidR="00561DFC" w:rsidRDefault="00561DFC" w:rsidP="004A0415">
            <w:pPr>
              <w:jc w:val="center"/>
              <w:rPr>
                <w:rFonts w:ascii="Calibri" w:hAnsi="Calibri" w:cs="Arial"/>
                <w:sz w:val="20"/>
                <w:szCs w:val="20"/>
              </w:rPr>
            </w:pPr>
            <w:r>
              <w:rPr>
                <w:rFonts w:ascii="Calibri" w:hAnsi="Calibri" w:cs="Arial"/>
                <w:sz w:val="20"/>
                <w:szCs w:val="20"/>
              </w:rPr>
              <w:t>307</w:t>
            </w:r>
          </w:p>
        </w:tc>
        <w:tc>
          <w:tcPr>
            <w:tcW w:w="720" w:type="dxa"/>
            <w:shd w:val="clear" w:color="auto" w:fill="F2F2F2" w:themeFill="background1" w:themeFillShade="F2"/>
            <w:vAlign w:val="center"/>
          </w:tcPr>
          <w:p w14:paraId="410B2316" w14:textId="59E863E2" w:rsidR="00561DFC" w:rsidRDefault="00561DFC" w:rsidP="004A041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95%</w:t>
            </w:r>
          </w:p>
        </w:tc>
        <w:tc>
          <w:tcPr>
            <w:tcW w:w="1350" w:type="dxa"/>
            <w:shd w:val="clear" w:color="auto" w:fill="F2F2F2" w:themeFill="background1" w:themeFillShade="F2"/>
            <w:vAlign w:val="center"/>
          </w:tcPr>
          <w:p w14:paraId="634DD44A" w14:textId="7147750E" w:rsidR="00561DFC" w:rsidRPr="00574955" w:rsidRDefault="00561DFC" w:rsidP="004A0415">
            <w:pPr>
              <w:tabs>
                <w:tab w:val="clear" w:pos="284"/>
              </w:tabs>
              <w:autoSpaceDE w:val="0"/>
              <w:autoSpaceDN w:val="0"/>
              <w:adjustRightInd w:val="0"/>
              <w:spacing w:line="240" w:lineRule="auto"/>
              <w:jc w:val="center"/>
              <w:rPr>
                <w:rFonts w:ascii="Calibri" w:eastAsia="Times New Roman" w:hAnsi="Calibri" w:cs="Calibri"/>
                <w:color w:val="000000"/>
                <w:sz w:val="22"/>
                <w:szCs w:val="22"/>
              </w:rPr>
            </w:pPr>
            <w:r>
              <w:rPr>
                <w:rFonts w:ascii="Calibri" w:hAnsi="Calibri" w:cs="Arial"/>
                <w:sz w:val="20"/>
                <w:szCs w:val="20"/>
              </w:rPr>
              <w:t>Pass</w:t>
            </w:r>
          </w:p>
        </w:tc>
        <w:tc>
          <w:tcPr>
            <w:tcW w:w="990" w:type="dxa"/>
            <w:shd w:val="clear" w:color="auto" w:fill="F2F2F2" w:themeFill="background1" w:themeFillShade="F2"/>
            <w:vAlign w:val="center"/>
          </w:tcPr>
          <w:p w14:paraId="3BD5F7CB" w14:textId="283F17A8" w:rsidR="00561DFC" w:rsidRPr="00F05AAD" w:rsidRDefault="00561DFC" w:rsidP="004A041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2.5</w:t>
            </w:r>
          </w:p>
        </w:tc>
      </w:tr>
      <w:tr w:rsidR="00561DFC" w:rsidRPr="00F05AAD" w14:paraId="59625E56" w14:textId="77777777" w:rsidTr="008A47D0">
        <w:trPr>
          <w:trHeight w:val="413"/>
          <w:jc w:val="center"/>
        </w:trPr>
        <w:tc>
          <w:tcPr>
            <w:tcW w:w="2790" w:type="dxa"/>
            <w:shd w:val="clear" w:color="auto" w:fill="auto"/>
            <w:vAlign w:val="center"/>
          </w:tcPr>
          <w:p w14:paraId="22CC3CA6" w14:textId="77777777" w:rsidR="00561DFC" w:rsidRDefault="00561DFC" w:rsidP="004A0415">
            <w:pPr>
              <w:tabs>
                <w:tab w:val="clear" w:pos="284"/>
              </w:tabs>
              <w:autoSpaceDE w:val="0"/>
              <w:autoSpaceDN w:val="0"/>
              <w:adjustRightInd w:val="0"/>
              <w:spacing w:line="240" w:lineRule="auto"/>
              <w:rPr>
                <w:rFonts w:ascii="Calibri" w:eastAsia="Times New Roman" w:hAnsi="Calibri" w:cs="Calibri"/>
                <w:color w:val="000000"/>
                <w:sz w:val="22"/>
                <w:szCs w:val="22"/>
              </w:rPr>
            </w:pPr>
            <w:r>
              <w:rPr>
                <w:rFonts w:ascii="Calibri" w:hAnsi="Calibri" w:cs="Arial"/>
                <w:sz w:val="20"/>
                <w:szCs w:val="20"/>
              </w:rPr>
              <w:t>House Creek</w:t>
            </w:r>
          </w:p>
        </w:tc>
        <w:tc>
          <w:tcPr>
            <w:tcW w:w="1710" w:type="dxa"/>
            <w:shd w:val="clear" w:color="auto" w:fill="auto"/>
            <w:vAlign w:val="center"/>
          </w:tcPr>
          <w:p w14:paraId="103F6388" w14:textId="77777777" w:rsidR="00561DFC" w:rsidRPr="00574955" w:rsidRDefault="00561DFC" w:rsidP="004A0415">
            <w:pPr>
              <w:tabs>
                <w:tab w:val="clear" w:pos="284"/>
              </w:tabs>
              <w:autoSpaceDE w:val="0"/>
              <w:autoSpaceDN w:val="0"/>
              <w:adjustRightInd w:val="0"/>
              <w:spacing w:line="240" w:lineRule="auto"/>
              <w:jc w:val="center"/>
              <w:rPr>
                <w:rFonts w:ascii="Calibri" w:eastAsia="Times New Roman" w:hAnsi="Calibri" w:cs="Calibri"/>
                <w:color w:val="000000"/>
                <w:sz w:val="22"/>
                <w:szCs w:val="22"/>
              </w:rPr>
            </w:pPr>
            <w:r>
              <w:rPr>
                <w:rFonts w:ascii="Calibri" w:hAnsi="Calibri" w:cs="Arial"/>
                <w:sz w:val="20"/>
                <w:szCs w:val="20"/>
              </w:rPr>
              <w:t>120702020304</w:t>
            </w:r>
          </w:p>
        </w:tc>
        <w:tc>
          <w:tcPr>
            <w:tcW w:w="810" w:type="dxa"/>
            <w:shd w:val="clear" w:color="auto" w:fill="auto"/>
            <w:vAlign w:val="center"/>
          </w:tcPr>
          <w:p w14:paraId="6ADA06DC" w14:textId="6E8F916C" w:rsidR="00561DFC" w:rsidRDefault="00561DFC" w:rsidP="004A0415">
            <w:pPr>
              <w:jc w:val="center"/>
              <w:rPr>
                <w:rFonts w:ascii="Calibri" w:hAnsi="Calibri" w:cs="Arial"/>
                <w:sz w:val="20"/>
                <w:szCs w:val="20"/>
              </w:rPr>
            </w:pPr>
            <w:r>
              <w:rPr>
                <w:rFonts w:ascii="Calibri" w:hAnsi="Calibri" w:cs="Arial"/>
                <w:sz w:val="20"/>
                <w:szCs w:val="20"/>
              </w:rPr>
              <w:t>2,179</w:t>
            </w:r>
          </w:p>
        </w:tc>
        <w:tc>
          <w:tcPr>
            <w:tcW w:w="810" w:type="dxa"/>
            <w:shd w:val="clear" w:color="auto" w:fill="auto"/>
            <w:vAlign w:val="center"/>
          </w:tcPr>
          <w:p w14:paraId="49461770" w14:textId="415E5590" w:rsidR="00561DFC" w:rsidRDefault="00561DFC" w:rsidP="004A0415">
            <w:pPr>
              <w:jc w:val="center"/>
              <w:rPr>
                <w:rFonts w:ascii="Calibri" w:hAnsi="Calibri" w:cs="Arial"/>
                <w:sz w:val="20"/>
                <w:szCs w:val="20"/>
              </w:rPr>
            </w:pPr>
            <w:r>
              <w:rPr>
                <w:rFonts w:ascii="Calibri" w:hAnsi="Calibri" w:cs="Arial"/>
                <w:sz w:val="20"/>
                <w:szCs w:val="20"/>
              </w:rPr>
              <w:t>105</w:t>
            </w:r>
          </w:p>
        </w:tc>
        <w:tc>
          <w:tcPr>
            <w:tcW w:w="810" w:type="dxa"/>
            <w:shd w:val="clear" w:color="auto" w:fill="auto"/>
            <w:vAlign w:val="center"/>
          </w:tcPr>
          <w:p w14:paraId="20FE04B9" w14:textId="76DCAFC6" w:rsidR="00561DFC" w:rsidRDefault="00561DFC" w:rsidP="004A0415">
            <w:pPr>
              <w:jc w:val="center"/>
              <w:rPr>
                <w:rFonts w:ascii="Calibri" w:hAnsi="Calibri" w:cs="Arial"/>
                <w:sz w:val="20"/>
                <w:szCs w:val="20"/>
              </w:rPr>
            </w:pPr>
            <w:r>
              <w:rPr>
                <w:rFonts w:ascii="Calibri" w:hAnsi="Calibri" w:cs="Arial"/>
                <w:sz w:val="20"/>
                <w:szCs w:val="20"/>
              </w:rPr>
              <w:t>2,074</w:t>
            </w:r>
          </w:p>
        </w:tc>
        <w:tc>
          <w:tcPr>
            <w:tcW w:w="720" w:type="dxa"/>
            <w:shd w:val="clear" w:color="auto" w:fill="auto"/>
            <w:vAlign w:val="center"/>
          </w:tcPr>
          <w:p w14:paraId="4C07E94D" w14:textId="215EE3D8" w:rsidR="00561DFC" w:rsidRDefault="00561DFC" w:rsidP="004A041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95%</w:t>
            </w:r>
          </w:p>
        </w:tc>
        <w:tc>
          <w:tcPr>
            <w:tcW w:w="1350" w:type="dxa"/>
            <w:shd w:val="clear" w:color="auto" w:fill="auto"/>
            <w:vAlign w:val="center"/>
          </w:tcPr>
          <w:p w14:paraId="668DFC5F" w14:textId="4B4145A9" w:rsidR="00561DFC" w:rsidRPr="00574955" w:rsidRDefault="00561DFC" w:rsidP="004A0415">
            <w:pPr>
              <w:tabs>
                <w:tab w:val="clear" w:pos="284"/>
              </w:tabs>
              <w:autoSpaceDE w:val="0"/>
              <w:autoSpaceDN w:val="0"/>
              <w:adjustRightInd w:val="0"/>
              <w:spacing w:line="240" w:lineRule="auto"/>
              <w:jc w:val="center"/>
              <w:rPr>
                <w:rFonts w:ascii="Calibri" w:eastAsia="Times New Roman" w:hAnsi="Calibri" w:cs="Calibri"/>
                <w:color w:val="000000"/>
                <w:sz w:val="22"/>
                <w:szCs w:val="22"/>
              </w:rPr>
            </w:pPr>
            <w:r>
              <w:rPr>
                <w:rFonts w:ascii="Calibri" w:hAnsi="Calibri" w:cs="Arial"/>
                <w:sz w:val="20"/>
                <w:szCs w:val="20"/>
              </w:rPr>
              <w:t>Pass</w:t>
            </w:r>
          </w:p>
        </w:tc>
        <w:tc>
          <w:tcPr>
            <w:tcW w:w="990" w:type="dxa"/>
            <w:shd w:val="clear" w:color="auto" w:fill="auto"/>
            <w:vAlign w:val="center"/>
          </w:tcPr>
          <w:p w14:paraId="7017BAB3" w14:textId="647BEDD6" w:rsidR="00561DFC" w:rsidRPr="00F05AAD" w:rsidRDefault="00561DFC" w:rsidP="004A041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1.9</w:t>
            </w:r>
          </w:p>
        </w:tc>
      </w:tr>
      <w:tr w:rsidR="00561DFC" w:rsidRPr="00F05AAD" w14:paraId="54ACFF75" w14:textId="77777777" w:rsidTr="007824FF">
        <w:trPr>
          <w:trHeight w:val="413"/>
          <w:jc w:val="center"/>
        </w:trPr>
        <w:tc>
          <w:tcPr>
            <w:tcW w:w="2790" w:type="dxa"/>
            <w:shd w:val="clear" w:color="auto" w:fill="F2F2F2" w:themeFill="background1" w:themeFillShade="F2"/>
            <w:vAlign w:val="center"/>
          </w:tcPr>
          <w:p w14:paraId="2DAB1D7D" w14:textId="77777777" w:rsidR="00561DFC" w:rsidRDefault="00561DFC" w:rsidP="007824FF">
            <w:pPr>
              <w:tabs>
                <w:tab w:val="clear" w:pos="284"/>
              </w:tabs>
              <w:autoSpaceDE w:val="0"/>
              <w:autoSpaceDN w:val="0"/>
              <w:adjustRightInd w:val="0"/>
              <w:spacing w:line="240" w:lineRule="auto"/>
              <w:rPr>
                <w:rFonts w:ascii="Calibri" w:eastAsia="Times New Roman" w:hAnsi="Calibri" w:cs="Calibri"/>
                <w:color w:val="000000"/>
                <w:sz w:val="22"/>
                <w:szCs w:val="22"/>
              </w:rPr>
            </w:pPr>
            <w:r>
              <w:rPr>
                <w:rFonts w:ascii="Calibri" w:hAnsi="Calibri" w:cs="Arial"/>
                <w:sz w:val="20"/>
                <w:szCs w:val="20"/>
              </w:rPr>
              <w:t>Langford Branch</w:t>
            </w:r>
          </w:p>
        </w:tc>
        <w:tc>
          <w:tcPr>
            <w:tcW w:w="1710" w:type="dxa"/>
            <w:shd w:val="clear" w:color="auto" w:fill="F2F2F2" w:themeFill="background1" w:themeFillShade="F2"/>
            <w:vAlign w:val="center"/>
          </w:tcPr>
          <w:p w14:paraId="18971710" w14:textId="77777777" w:rsidR="00561DFC" w:rsidRPr="00574955" w:rsidRDefault="00561DFC" w:rsidP="007824FF">
            <w:pPr>
              <w:tabs>
                <w:tab w:val="clear" w:pos="284"/>
              </w:tabs>
              <w:autoSpaceDE w:val="0"/>
              <w:autoSpaceDN w:val="0"/>
              <w:adjustRightInd w:val="0"/>
              <w:spacing w:line="240" w:lineRule="auto"/>
              <w:jc w:val="center"/>
              <w:rPr>
                <w:rFonts w:ascii="Calibri" w:eastAsia="Times New Roman" w:hAnsi="Calibri" w:cs="Calibri"/>
                <w:color w:val="000000"/>
                <w:sz w:val="22"/>
                <w:szCs w:val="22"/>
              </w:rPr>
            </w:pPr>
            <w:r>
              <w:rPr>
                <w:rFonts w:ascii="Calibri" w:hAnsi="Calibri" w:cs="Arial"/>
                <w:sz w:val="20"/>
                <w:szCs w:val="20"/>
              </w:rPr>
              <w:t>120702020105</w:t>
            </w:r>
          </w:p>
        </w:tc>
        <w:tc>
          <w:tcPr>
            <w:tcW w:w="810" w:type="dxa"/>
            <w:shd w:val="clear" w:color="auto" w:fill="F2F2F2" w:themeFill="background1" w:themeFillShade="F2"/>
            <w:vAlign w:val="center"/>
          </w:tcPr>
          <w:p w14:paraId="775C7256" w14:textId="5F59CEBC" w:rsidR="00561DFC" w:rsidRDefault="00561DFC" w:rsidP="007824FF">
            <w:pPr>
              <w:jc w:val="center"/>
              <w:rPr>
                <w:rFonts w:ascii="Calibri" w:hAnsi="Calibri" w:cs="Arial"/>
                <w:sz w:val="20"/>
                <w:szCs w:val="20"/>
              </w:rPr>
            </w:pPr>
            <w:r>
              <w:rPr>
                <w:rFonts w:ascii="Calibri" w:hAnsi="Calibri" w:cs="Arial"/>
                <w:sz w:val="20"/>
                <w:szCs w:val="20"/>
              </w:rPr>
              <w:t>902</w:t>
            </w:r>
          </w:p>
        </w:tc>
        <w:tc>
          <w:tcPr>
            <w:tcW w:w="810" w:type="dxa"/>
            <w:shd w:val="clear" w:color="auto" w:fill="F2F2F2" w:themeFill="background1" w:themeFillShade="F2"/>
            <w:vAlign w:val="center"/>
          </w:tcPr>
          <w:p w14:paraId="309B4FEB" w14:textId="6DB5197E" w:rsidR="00561DFC" w:rsidRDefault="00561DFC" w:rsidP="007824FF">
            <w:pPr>
              <w:jc w:val="center"/>
              <w:rPr>
                <w:rFonts w:ascii="Calibri" w:hAnsi="Calibri" w:cs="Arial"/>
                <w:sz w:val="20"/>
                <w:szCs w:val="20"/>
              </w:rPr>
            </w:pPr>
            <w:r>
              <w:rPr>
                <w:rFonts w:ascii="Calibri" w:hAnsi="Calibri" w:cs="Arial"/>
                <w:sz w:val="20"/>
                <w:szCs w:val="20"/>
              </w:rPr>
              <w:t>62</w:t>
            </w:r>
          </w:p>
        </w:tc>
        <w:tc>
          <w:tcPr>
            <w:tcW w:w="810" w:type="dxa"/>
            <w:shd w:val="clear" w:color="auto" w:fill="F2F2F2" w:themeFill="background1" w:themeFillShade="F2"/>
            <w:vAlign w:val="center"/>
          </w:tcPr>
          <w:p w14:paraId="5155BBD1" w14:textId="2DFDF023" w:rsidR="00561DFC" w:rsidRDefault="00561DFC" w:rsidP="007824FF">
            <w:pPr>
              <w:jc w:val="center"/>
              <w:rPr>
                <w:rFonts w:ascii="Calibri" w:hAnsi="Calibri" w:cs="Arial"/>
                <w:sz w:val="20"/>
                <w:szCs w:val="20"/>
              </w:rPr>
            </w:pPr>
            <w:r>
              <w:rPr>
                <w:rFonts w:ascii="Calibri" w:hAnsi="Calibri" w:cs="Arial"/>
                <w:sz w:val="20"/>
                <w:szCs w:val="20"/>
              </w:rPr>
              <w:t>840</w:t>
            </w:r>
          </w:p>
        </w:tc>
        <w:tc>
          <w:tcPr>
            <w:tcW w:w="720" w:type="dxa"/>
            <w:shd w:val="clear" w:color="auto" w:fill="F2F2F2" w:themeFill="background1" w:themeFillShade="F2"/>
            <w:vAlign w:val="center"/>
          </w:tcPr>
          <w:p w14:paraId="61132BC6" w14:textId="4785995E" w:rsidR="00561DFC" w:rsidRDefault="00561DFC" w:rsidP="007824FF">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93%</w:t>
            </w:r>
          </w:p>
        </w:tc>
        <w:tc>
          <w:tcPr>
            <w:tcW w:w="1350" w:type="dxa"/>
            <w:shd w:val="clear" w:color="auto" w:fill="F2F2F2" w:themeFill="background1" w:themeFillShade="F2"/>
            <w:vAlign w:val="center"/>
          </w:tcPr>
          <w:p w14:paraId="37832585" w14:textId="66D0C9BE" w:rsidR="00561DFC" w:rsidRPr="00574955" w:rsidRDefault="00561DFC" w:rsidP="007824FF">
            <w:pPr>
              <w:tabs>
                <w:tab w:val="clear" w:pos="284"/>
              </w:tabs>
              <w:autoSpaceDE w:val="0"/>
              <w:autoSpaceDN w:val="0"/>
              <w:adjustRightInd w:val="0"/>
              <w:spacing w:line="240" w:lineRule="auto"/>
              <w:jc w:val="center"/>
              <w:rPr>
                <w:rFonts w:ascii="Calibri" w:eastAsia="Times New Roman" w:hAnsi="Calibri" w:cs="Calibri"/>
                <w:color w:val="000000"/>
                <w:sz w:val="22"/>
                <w:szCs w:val="22"/>
              </w:rPr>
            </w:pPr>
            <w:r>
              <w:rPr>
                <w:rFonts w:ascii="Calibri" w:hAnsi="Calibri" w:cs="Arial"/>
                <w:sz w:val="20"/>
                <w:szCs w:val="20"/>
              </w:rPr>
              <w:t>Pass</w:t>
            </w:r>
          </w:p>
        </w:tc>
        <w:tc>
          <w:tcPr>
            <w:tcW w:w="990" w:type="dxa"/>
            <w:shd w:val="clear" w:color="auto" w:fill="F2F2F2" w:themeFill="background1" w:themeFillShade="F2"/>
            <w:vAlign w:val="center"/>
          </w:tcPr>
          <w:p w14:paraId="3D4329F2" w14:textId="75445630" w:rsidR="00561DFC" w:rsidRPr="00F05AAD" w:rsidRDefault="00561DFC" w:rsidP="007824FF">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3.4</w:t>
            </w:r>
          </w:p>
        </w:tc>
      </w:tr>
      <w:tr w:rsidR="00561DFC" w:rsidRPr="00F05AAD" w14:paraId="3E7F1FFF" w14:textId="77777777" w:rsidTr="008A47D0">
        <w:trPr>
          <w:trHeight w:val="413"/>
          <w:jc w:val="center"/>
        </w:trPr>
        <w:tc>
          <w:tcPr>
            <w:tcW w:w="2790" w:type="dxa"/>
            <w:shd w:val="clear" w:color="auto" w:fill="auto"/>
            <w:vAlign w:val="center"/>
          </w:tcPr>
          <w:p w14:paraId="0BD0FD7B" w14:textId="77777777" w:rsidR="00561DFC" w:rsidRDefault="00561DFC" w:rsidP="007824FF">
            <w:pPr>
              <w:tabs>
                <w:tab w:val="clear" w:pos="284"/>
              </w:tabs>
              <w:autoSpaceDE w:val="0"/>
              <w:autoSpaceDN w:val="0"/>
              <w:adjustRightInd w:val="0"/>
              <w:spacing w:line="240" w:lineRule="auto"/>
              <w:rPr>
                <w:rFonts w:ascii="Calibri" w:eastAsia="Times New Roman" w:hAnsi="Calibri" w:cs="Calibri"/>
                <w:color w:val="000000"/>
                <w:sz w:val="22"/>
                <w:szCs w:val="22"/>
              </w:rPr>
            </w:pPr>
            <w:r>
              <w:rPr>
                <w:rFonts w:ascii="Calibri" w:hAnsi="Calibri" w:cs="Arial"/>
                <w:sz w:val="20"/>
                <w:szCs w:val="20"/>
              </w:rPr>
              <w:t>North Bee House Creek</w:t>
            </w:r>
          </w:p>
        </w:tc>
        <w:tc>
          <w:tcPr>
            <w:tcW w:w="1710" w:type="dxa"/>
            <w:shd w:val="clear" w:color="auto" w:fill="auto"/>
            <w:vAlign w:val="center"/>
          </w:tcPr>
          <w:p w14:paraId="6B990038" w14:textId="77777777" w:rsidR="00561DFC" w:rsidRPr="00574955" w:rsidRDefault="00561DFC" w:rsidP="007824FF">
            <w:pPr>
              <w:tabs>
                <w:tab w:val="clear" w:pos="284"/>
              </w:tabs>
              <w:autoSpaceDE w:val="0"/>
              <w:autoSpaceDN w:val="0"/>
              <w:adjustRightInd w:val="0"/>
              <w:spacing w:line="240" w:lineRule="auto"/>
              <w:jc w:val="center"/>
              <w:rPr>
                <w:rFonts w:ascii="Calibri" w:eastAsia="Times New Roman" w:hAnsi="Calibri" w:cs="Calibri"/>
                <w:color w:val="000000"/>
                <w:sz w:val="22"/>
                <w:szCs w:val="22"/>
              </w:rPr>
            </w:pPr>
            <w:r>
              <w:rPr>
                <w:rFonts w:ascii="Calibri" w:hAnsi="Calibri" w:cs="Arial"/>
                <w:sz w:val="20"/>
                <w:szCs w:val="20"/>
              </w:rPr>
              <w:t>120702020202</w:t>
            </w:r>
          </w:p>
        </w:tc>
        <w:tc>
          <w:tcPr>
            <w:tcW w:w="810" w:type="dxa"/>
            <w:shd w:val="clear" w:color="auto" w:fill="auto"/>
            <w:vAlign w:val="center"/>
          </w:tcPr>
          <w:p w14:paraId="67AA4872" w14:textId="21D26DB9" w:rsidR="00561DFC" w:rsidRDefault="00561DFC" w:rsidP="007824FF">
            <w:pPr>
              <w:jc w:val="center"/>
              <w:rPr>
                <w:rFonts w:ascii="Calibri" w:hAnsi="Calibri" w:cs="Arial"/>
                <w:sz w:val="20"/>
                <w:szCs w:val="20"/>
              </w:rPr>
            </w:pPr>
            <w:r>
              <w:rPr>
                <w:rFonts w:ascii="Calibri" w:hAnsi="Calibri" w:cs="Arial"/>
                <w:sz w:val="20"/>
                <w:szCs w:val="20"/>
              </w:rPr>
              <w:t>2,564</w:t>
            </w:r>
          </w:p>
        </w:tc>
        <w:tc>
          <w:tcPr>
            <w:tcW w:w="810" w:type="dxa"/>
            <w:shd w:val="clear" w:color="auto" w:fill="auto"/>
            <w:vAlign w:val="center"/>
          </w:tcPr>
          <w:p w14:paraId="0AAA3108" w14:textId="36A2A452" w:rsidR="00561DFC" w:rsidRDefault="00561DFC" w:rsidP="007824FF">
            <w:pPr>
              <w:jc w:val="center"/>
              <w:rPr>
                <w:rFonts w:ascii="Calibri" w:hAnsi="Calibri" w:cs="Arial"/>
                <w:sz w:val="20"/>
                <w:szCs w:val="20"/>
              </w:rPr>
            </w:pPr>
            <w:r>
              <w:rPr>
                <w:rFonts w:ascii="Calibri" w:hAnsi="Calibri" w:cs="Arial"/>
                <w:sz w:val="20"/>
                <w:szCs w:val="20"/>
              </w:rPr>
              <w:t>144</w:t>
            </w:r>
          </w:p>
        </w:tc>
        <w:tc>
          <w:tcPr>
            <w:tcW w:w="810" w:type="dxa"/>
            <w:shd w:val="clear" w:color="auto" w:fill="auto"/>
            <w:vAlign w:val="center"/>
          </w:tcPr>
          <w:p w14:paraId="3E27BDCC" w14:textId="03E90589" w:rsidR="00561DFC" w:rsidRDefault="00561DFC" w:rsidP="007824FF">
            <w:pPr>
              <w:jc w:val="center"/>
              <w:rPr>
                <w:rFonts w:ascii="Calibri" w:hAnsi="Calibri" w:cs="Arial"/>
                <w:sz w:val="20"/>
                <w:szCs w:val="20"/>
              </w:rPr>
            </w:pPr>
            <w:r>
              <w:rPr>
                <w:rFonts w:ascii="Calibri" w:hAnsi="Calibri" w:cs="Arial"/>
                <w:sz w:val="20"/>
                <w:szCs w:val="20"/>
              </w:rPr>
              <w:t>2,420</w:t>
            </w:r>
          </w:p>
        </w:tc>
        <w:tc>
          <w:tcPr>
            <w:tcW w:w="720" w:type="dxa"/>
            <w:shd w:val="clear" w:color="auto" w:fill="auto"/>
            <w:vAlign w:val="center"/>
          </w:tcPr>
          <w:p w14:paraId="15A9164D" w14:textId="388E15B5" w:rsidR="00561DFC" w:rsidRDefault="00561DFC" w:rsidP="007824FF">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94%</w:t>
            </w:r>
          </w:p>
        </w:tc>
        <w:tc>
          <w:tcPr>
            <w:tcW w:w="1350" w:type="dxa"/>
            <w:shd w:val="clear" w:color="auto" w:fill="auto"/>
            <w:vAlign w:val="center"/>
          </w:tcPr>
          <w:p w14:paraId="12C93DA0" w14:textId="60ED9C89" w:rsidR="00561DFC" w:rsidRPr="00574955" w:rsidRDefault="00561DFC" w:rsidP="007824FF">
            <w:pPr>
              <w:tabs>
                <w:tab w:val="clear" w:pos="284"/>
              </w:tabs>
              <w:autoSpaceDE w:val="0"/>
              <w:autoSpaceDN w:val="0"/>
              <w:adjustRightInd w:val="0"/>
              <w:spacing w:line="240" w:lineRule="auto"/>
              <w:jc w:val="center"/>
              <w:rPr>
                <w:rFonts w:ascii="Calibri" w:eastAsia="Times New Roman" w:hAnsi="Calibri" w:cs="Calibri"/>
                <w:color w:val="000000"/>
                <w:sz w:val="22"/>
                <w:szCs w:val="22"/>
              </w:rPr>
            </w:pPr>
            <w:r>
              <w:rPr>
                <w:rFonts w:ascii="Calibri" w:hAnsi="Calibri" w:cs="Arial"/>
                <w:sz w:val="20"/>
                <w:szCs w:val="20"/>
              </w:rPr>
              <w:t>Pass</w:t>
            </w:r>
          </w:p>
        </w:tc>
        <w:tc>
          <w:tcPr>
            <w:tcW w:w="990" w:type="dxa"/>
            <w:shd w:val="clear" w:color="auto" w:fill="auto"/>
            <w:vAlign w:val="center"/>
          </w:tcPr>
          <w:p w14:paraId="4D4DD8B3" w14:textId="55C4C713" w:rsidR="00561DFC" w:rsidRPr="00F05AAD" w:rsidRDefault="00561DFC" w:rsidP="007824FF">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2.8</w:t>
            </w:r>
          </w:p>
        </w:tc>
      </w:tr>
      <w:tr w:rsidR="00561DFC" w:rsidRPr="00F05AAD" w14:paraId="429E8A60" w14:textId="77777777" w:rsidTr="007824FF">
        <w:trPr>
          <w:trHeight w:val="413"/>
          <w:jc w:val="center"/>
        </w:trPr>
        <w:tc>
          <w:tcPr>
            <w:tcW w:w="2790" w:type="dxa"/>
            <w:tcBorders>
              <w:bottom w:val="single" w:sz="4" w:space="0" w:color="808080" w:themeColor="background1" w:themeShade="80"/>
            </w:tcBorders>
            <w:shd w:val="clear" w:color="auto" w:fill="F2F2F2" w:themeFill="background1" w:themeFillShade="F2"/>
            <w:vAlign w:val="center"/>
          </w:tcPr>
          <w:p w14:paraId="2DFB52BA" w14:textId="77777777" w:rsidR="00561DFC" w:rsidRDefault="00561DFC" w:rsidP="007824FF">
            <w:pPr>
              <w:tabs>
                <w:tab w:val="clear" w:pos="284"/>
              </w:tabs>
              <w:autoSpaceDE w:val="0"/>
              <w:autoSpaceDN w:val="0"/>
              <w:adjustRightInd w:val="0"/>
              <w:spacing w:line="240" w:lineRule="auto"/>
              <w:rPr>
                <w:rFonts w:ascii="Calibri" w:eastAsia="Times New Roman" w:hAnsi="Calibri" w:cs="Calibri"/>
                <w:color w:val="000000"/>
                <w:sz w:val="22"/>
                <w:szCs w:val="22"/>
              </w:rPr>
            </w:pPr>
            <w:r>
              <w:rPr>
                <w:rFonts w:ascii="Calibri" w:hAnsi="Calibri" w:cs="Arial"/>
                <w:sz w:val="20"/>
                <w:szCs w:val="20"/>
              </w:rPr>
              <w:t>Riley Branch-Cowhouse Creek</w:t>
            </w:r>
          </w:p>
        </w:tc>
        <w:tc>
          <w:tcPr>
            <w:tcW w:w="1710" w:type="dxa"/>
            <w:tcBorders>
              <w:bottom w:val="single" w:sz="4" w:space="0" w:color="808080" w:themeColor="background1" w:themeShade="80"/>
            </w:tcBorders>
            <w:shd w:val="clear" w:color="auto" w:fill="F2F2F2" w:themeFill="background1" w:themeFillShade="F2"/>
            <w:vAlign w:val="center"/>
          </w:tcPr>
          <w:p w14:paraId="1DA1824A" w14:textId="77777777" w:rsidR="00561DFC" w:rsidRPr="00574955" w:rsidRDefault="00561DFC" w:rsidP="007824FF">
            <w:pPr>
              <w:tabs>
                <w:tab w:val="clear" w:pos="284"/>
              </w:tabs>
              <w:autoSpaceDE w:val="0"/>
              <w:autoSpaceDN w:val="0"/>
              <w:adjustRightInd w:val="0"/>
              <w:spacing w:line="240" w:lineRule="auto"/>
              <w:jc w:val="center"/>
              <w:rPr>
                <w:rFonts w:ascii="Calibri" w:eastAsia="Times New Roman" w:hAnsi="Calibri" w:cs="Calibri"/>
                <w:color w:val="000000"/>
                <w:sz w:val="22"/>
                <w:szCs w:val="22"/>
              </w:rPr>
            </w:pPr>
            <w:r>
              <w:rPr>
                <w:rFonts w:ascii="Calibri" w:hAnsi="Calibri" w:cs="Arial"/>
                <w:sz w:val="20"/>
                <w:szCs w:val="20"/>
              </w:rPr>
              <w:t>120702020205</w:t>
            </w:r>
          </w:p>
        </w:tc>
        <w:tc>
          <w:tcPr>
            <w:tcW w:w="810" w:type="dxa"/>
            <w:tcBorders>
              <w:bottom w:val="single" w:sz="4" w:space="0" w:color="808080" w:themeColor="background1" w:themeShade="80"/>
            </w:tcBorders>
            <w:shd w:val="clear" w:color="auto" w:fill="F2F2F2" w:themeFill="background1" w:themeFillShade="F2"/>
            <w:vAlign w:val="center"/>
          </w:tcPr>
          <w:p w14:paraId="581006C1" w14:textId="5E40B656" w:rsidR="00561DFC" w:rsidRDefault="00561DFC" w:rsidP="007824FF">
            <w:pPr>
              <w:jc w:val="center"/>
              <w:rPr>
                <w:rFonts w:ascii="Calibri" w:hAnsi="Calibri" w:cs="Arial"/>
                <w:sz w:val="20"/>
                <w:szCs w:val="20"/>
              </w:rPr>
            </w:pPr>
            <w:r>
              <w:rPr>
                <w:rFonts w:ascii="Calibri" w:hAnsi="Calibri" w:cs="Arial"/>
                <w:sz w:val="20"/>
                <w:szCs w:val="20"/>
              </w:rPr>
              <w:t>2,254</w:t>
            </w:r>
          </w:p>
        </w:tc>
        <w:tc>
          <w:tcPr>
            <w:tcW w:w="810" w:type="dxa"/>
            <w:tcBorders>
              <w:bottom w:val="single" w:sz="4" w:space="0" w:color="808080" w:themeColor="background1" w:themeShade="80"/>
            </w:tcBorders>
            <w:shd w:val="clear" w:color="auto" w:fill="F2F2F2" w:themeFill="background1" w:themeFillShade="F2"/>
            <w:vAlign w:val="center"/>
          </w:tcPr>
          <w:p w14:paraId="79E00AF4" w14:textId="5A1F9E35" w:rsidR="00561DFC" w:rsidRDefault="00561DFC" w:rsidP="007824FF">
            <w:pPr>
              <w:jc w:val="center"/>
              <w:rPr>
                <w:rFonts w:ascii="Calibri" w:hAnsi="Calibri" w:cs="Arial"/>
                <w:sz w:val="20"/>
                <w:szCs w:val="20"/>
              </w:rPr>
            </w:pPr>
            <w:r>
              <w:rPr>
                <w:rFonts w:ascii="Calibri" w:hAnsi="Calibri" w:cs="Arial"/>
                <w:sz w:val="20"/>
                <w:szCs w:val="20"/>
              </w:rPr>
              <w:t>81</w:t>
            </w:r>
          </w:p>
        </w:tc>
        <w:tc>
          <w:tcPr>
            <w:tcW w:w="810" w:type="dxa"/>
            <w:tcBorders>
              <w:bottom w:val="single" w:sz="4" w:space="0" w:color="808080" w:themeColor="background1" w:themeShade="80"/>
            </w:tcBorders>
            <w:shd w:val="clear" w:color="auto" w:fill="F2F2F2" w:themeFill="background1" w:themeFillShade="F2"/>
            <w:vAlign w:val="center"/>
          </w:tcPr>
          <w:p w14:paraId="2311219D" w14:textId="082D09DF" w:rsidR="00561DFC" w:rsidRDefault="00561DFC" w:rsidP="007824FF">
            <w:pPr>
              <w:jc w:val="center"/>
              <w:rPr>
                <w:rFonts w:ascii="Calibri" w:hAnsi="Calibri" w:cs="Arial"/>
                <w:sz w:val="20"/>
                <w:szCs w:val="20"/>
              </w:rPr>
            </w:pPr>
            <w:r>
              <w:rPr>
                <w:rFonts w:ascii="Calibri" w:hAnsi="Calibri" w:cs="Arial"/>
                <w:sz w:val="20"/>
                <w:szCs w:val="20"/>
              </w:rPr>
              <w:t>2,173</w:t>
            </w:r>
          </w:p>
        </w:tc>
        <w:tc>
          <w:tcPr>
            <w:tcW w:w="720" w:type="dxa"/>
            <w:tcBorders>
              <w:bottom w:val="single" w:sz="4" w:space="0" w:color="808080" w:themeColor="background1" w:themeShade="80"/>
            </w:tcBorders>
            <w:shd w:val="clear" w:color="auto" w:fill="F2F2F2" w:themeFill="background1" w:themeFillShade="F2"/>
            <w:vAlign w:val="center"/>
          </w:tcPr>
          <w:p w14:paraId="634337F5" w14:textId="36583872" w:rsidR="00561DFC" w:rsidRDefault="00561DFC" w:rsidP="007824FF">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96%</w:t>
            </w:r>
          </w:p>
        </w:tc>
        <w:tc>
          <w:tcPr>
            <w:tcW w:w="1350" w:type="dxa"/>
            <w:tcBorders>
              <w:bottom w:val="single" w:sz="4" w:space="0" w:color="808080" w:themeColor="background1" w:themeShade="80"/>
            </w:tcBorders>
            <w:shd w:val="clear" w:color="auto" w:fill="F2F2F2" w:themeFill="background1" w:themeFillShade="F2"/>
            <w:vAlign w:val="center"/>
          </w:tcPr>
          <w:p w14:paraId="24C6AD7D" w14:textId="7724074A" w:rsidR="00561DFC" w:rsidRPr="00574955" w:rsidRDefault="00561DFC" w:rsidP="007824FF">
            <w:pPr>
              <w:tabs>
                <w:tab w:val="clear" w:pos="284"/>
              </w:tabs>
              <w:autoSpaceDE w:val="0"/>
              <w:autoSpaceDN w:val="0"/>
              <w:adjustRightInd w:val="0"/>
              <w:spacing w:line="240" w:lineRule="auto"/>
              <w:jc w:val="center"/>
              <w:rPr>
                <w:rFonts w:ascii="Calibri" w:eastAsia="Times New Roman" w:hAnsi="Calibri" w:cs="Calibri"/>
                <w:color w:val="000000"/>
                <w:sz w:val="22"/>
                <w:szCs w:val="22"/>
              </w:rPr>
            </w:pPr>
            <w:r>
              <w:rPr>
                <w:rFonts w:ascii="Calibri" w:hAnsi="Calibri" w:cs="Arial"/>
                <w:sz w:val="20"/>
                <w:szCs w:val="20"/>
              </w:rPr>
              <w:t>Pass</w:t>
            </w:r>
          </w:p>
        </w:tc>
        <w:tc>
          <w:tcPr>
            <w:tcW w:w="990" w:type="dxa"/>
            <w:tcBorders>
              <w:bottom w:val="single" w:sz="4" w:space="0" w:color="808080" w:themeColor="background1" w:themeShade="80"/>
            </w:tcBorders>
            <w:shd w:val="clear" w:color="auto" w:fill="F2F2F2" w:themeFill="background1" w:themeFillShade="F2"/>
            <w:vAlign w:val="center"/>
          </w:tcPr>
          <w:p w14:paraId="74FA5512" w14:textId="60116161" w:rsidR="00561DFC" w:rsidRPr="00F05AAD" w:rsidRDefault="00561DFC" w:rsidP="007824FF">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1.8</w:t>
            </w:r>
          </w:p>
        </w:tc>
      </w:tr>
      <w:tr w:rsidR="00561DFC" w:rsidRPr="00F05AAD" w14:paraId="509C7106" w14:textId="77777777" w:rsidTr="008A47D0">
        <w:trPr>
          <w:trHeight w:val="413"/>
          <w:jc w:val="center"/>
        </w:trPr>
        <w:tc>
          <w:tcPr>
            <w:tcW w:w="279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vAlign w:val="center"/>
          </w:tcPr>
          <w:p w14:paraId="572F61DC" w14:textId="77777777" w:rsidR="00561DFC" w:rsidRDefault="00561DFC" w:rsidP="007824FF">
            <w:pPr>
              <w:tabs>
                <w:tab w:val="clear" w:pos="284"/>
              </w:tabs>
              <w:autoSpaceDE w:val="0"/>
              <w:autoSpaceDN w:val="0"/>
              <w:adjustRightInd w:val="0"/>
              <w:spacing w:line="240" w:lineRule="auto"/>
              <w:rPr>
                <w:rFonts w:ascii="Calibri" w:eastAsia="Times New Roman" w:hAnsi="Calibri" w:cs="Calibri"/>
                <w:color w:val="000000"/>
                <w:sz w:val="22"/>
                <w:szCs w:val="22"/>
              </w:rPr>
            </w:pPr>
            <w:r>
              <w:rPr>
                <w:rFonts w:ascii="Calibri" w:hAnsi="Calibri" w:cs="Arial"/>
                <w:sz w:val="20"/>
                <w:szCs w:val="20"/>
              </w:rPr>
              <w:t>Settlement Branch</w:t>
            </w:r>
          </w:p>
        </w:tc>
        <w:tc>
          <w:tcPr>
            <w:tcW w:w="171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vAlign w:val="center"/>
          </w:tcPr>
          <w:p w14:paraId="4FCA1EB8" w14:textId="77777777" w:rsidR="00561DFC" w:rsidRPr="00574955" w:rsidRDefault="00561DFC" w:rsidP="007824FF">
            <w:pPr>
              <w:tabs>
                <w:tab w:val="clear" w:pos="284"/>
              </w:tabs>
              <w:autoSpaceDE w:val="0"/>
              <w:autoSpaceDN w:val="0"/>
              <w:adjustRightInd w:val="0"/>
              <w:spacing w:line="240" w:lineRule="auto"/>
              <w:jc w:val="center"/>
              <w:rPr>
                <w:rFonts w:ascii="Calibri" w:eastAsia="Times New Roman" w:hAnsi="Calibri" w:cs="Calibri"/>
                <w:color w:val="000000"/>
                <w:sz w:val="22"/>
                <w:szCs w:val="22"/>
              </w:rPr>
            </w:pPr>
            <w:r>
              <w:rPr>
                <w:rFonts w:ascii="Calibri" w:hAnsi="Calibri" w:cs="Arial"/>
                <w:sz w:val="20"/>
                <w:szCs w:val="20"/>
              </w:rPr>
              <w:t>120702020301</w:t>
            </w:r>
          </w:p>
        </w:tc>
        <w:tc>
          <w:tcPr>
            <w:tcW w:w="81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vAlign w:val="center"/>
          </w:tcPr>
          <w:p w14:paraId="180964F8" w14:textId="2A551EA2" w:rsidR="00561DFC" w:rsidRDefault="00561DFC" w:rsidP="007824FF">
            <w:pPr>
              <w:jc w:val="center"/>
              <w:rPr>
                <w:rFonts w:ascii="Calibri" w:hAnsi="Calibri" w:cs="Arial"/>
                <w:sz w:val="20"/>
                <w:szCs w:val="20"/>
              </w:rPr>
            </w:pPr>
            <w:r>
              <w:rPr>
                <w:rFonts w:ascii="Calibri" w:hAnsi="Calibri" w:cs="Arial"/>
                <w:sz w:val="20"/>
                <w:szCs w:val="20"/>
              </w:rPr>
              <w:t>1,896</w:t>
            </w:r>
          </w:p>
        </w:tc>
        <w:tc>
          <w:tcPr>
            <w:tcW w:w="81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vAlign w:val="center"/>
          </w:tcPr>
          <w:p w14:paraId="3B7335B1" w14:textId="6BC6DADD" w:rsidR="00561DFC" w:rsidRDefault="00561DFC" w:rsidP="007824FF">
            <w:pPr>
              <w:jc w:val="center"/>
              <w:rPr>
                <w:rFonts w:ascii="Calibri" w:hAnsi="Calibri" w:cs="Arial"/>
                <w:sz w:val="20"/>
                <w:szCs w:val="20"/>
              </w:rPr>
            </w:pPr>
            <w:r>
              <w:rPr>
                <w:rFonts w:ascii="Calibri" w:hAnsi="Calibri" w:cs="Arial"/>
                <w:sz w:val="20"/>
                <w:szCs w:val="20"/>
              </w:rPr>
              <w:t>106</w:t>
            </w:r>
          </w:p>
        </w:tc>
        <w:tc>
          <w:tcPr>
            <w:tcW w:w="81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vAlign w:val="center"/>
          </w:tcPr>
          <w:p w14:paraId="4DDF9899" w14:textId="66F78220" w:rsidR="00561DFC" w:rsidRDefault="00561DFC" w:rsidP="007824FF">
            <w:pPr>
              <w:jc w:val="center"/>
              <w:rPr>
                <w:rFonts w:ascii="Calibri" w:hAnsi="Calibri" w:cs="Arial"/>
                <w:sz w:val="20"/>
                <w:szCs w:val="20"/>
              </w:rPr>
            </w:pPr>
            <w:r>
              <w:rPr>
                <w:rFonts w:ascii="Calibri" w:hAnsi="Calibri" w:cs="Arial"/>
                <w:sz w:val="20"/>
                <w:szCs w:val="20"/>
              </w:rPr>
              <w:t>1,790</w:t>
            </w:r>
          </w:p>
        </w:tc>
        <w:tc>
          <w:tcPr>
            <w:tcW w:w="72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vAlign w:val="center"/>
          </w:tcPr>
          <w:p w14:paraId="15EE027F" w14:textId="215A3E23" w:rsidR="00561DFC" w:rsidRDefault="00561DFC" w:rsidP="007824FF">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94%</w:t>
            </w:r>
          </w:p>
        </w:tc>
        <w:tc>
          <w:tcPr>
            <w:tcW w:w="135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vAlign w:val="center"/>
          </w:tcPr>
          <w:p w14:paraId="66E27E9A" w14:textId="2D5F1361" w:rsidR="00561DFC" w:rsidRPr="00574955" w:rsidRDefault="00561DFC" w:rsidP="007824FF">
            <w:pPr>
              <w:tabs>
                <w:tab w:val="clear" w:pos="284"/>
              </w:tabs>
              <w:autoSpaceDE w:val="0"/>
              <w:autoSpaceDN w:val="0"/>
              <w:adjustRightInd w:val="0"/>
              <w:spacing w:line="240" w:lineRule="auto"/>
              <w:jc w:val="center"/>
              <w:rPr>
                <w:rFonts w:ascii="Calibri" w:eastAsia="Times New Roman" w:hAnsi="Calibri" w:cs="Calibri"/>
                <w:color w:val="000000"/>
                <w:sz w:val="22"/>
                <w:szCs w:val="22"/>
              </w:rPr>
            </w:pPr>
            <w:r>
              <w:rPr>
                <w:rFonts w:ascii="Calibri" w:hAnsi="Calibri" w:cs="Arial"/>
                <w:sz w:val="20"/>
                <w:szCs w:val="20"/>
              </w:rPr>
              <w:t>Pass</w:t>
            </w:r>
          </w:p>
        </w:tc>
        <w:tc>
          <w:tcPr>
            <w:tcW w:w="99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vAlign w:val="center"/>
          </w:tcPr>
          <w:p w14:paraId="1A1FCA31" w14:textId="7E3D02A8" w:rsidR="00561DFC" w:rsidRPr="00F05AAD" w:rsidRDefault="00561DFC" w:rsidP="007824FF">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2.8</w:t>
            </w:r>
          </w:p>
        </w:tc>
      </w:tr>
      <w:tr w:rsidR="00561DFC" w:rsidRPr="00F05AAD" w14:paraId="629CC81D" w14:textId="77777777" w:rsidTr="007824FF">
        <w:trPr>
          <w:trHeight w:val="413"/>
          <w:jc w:val="center"/>
        </w:trPr>
        <w:tc>
          <w:tcPr>
            <w:tcW w:w="2790" w:type="dxa"/>
            <w:tcBorders>
              <w:top w:val="single" w:sz="4" w:space="0" w:color="808080" w:themeColor="background1" w:themeShade="80"/>
            </w:tcBorders>
            <w:shd w:val="clear" w:color="auto" w:fill="F2F2F2" w:themeFill="background1" w:themeFillShade="F2"/>
            <w:vAlign w:val="center"/>
          </w:tcPr>
          <w:p w14:paraId="1CA8C800" w14:textId="77777777" w:rsidR="00561DFC" w:rsidRDefault="00561DFC" w:rsidP="007824FF">
            <w:pPr>
              <w:tabs>
                <w:tab w:val="clear" w:pos="284"/>
              </w:tabs>
              <w:autoSpaceDE w:val="0"/>
              <w:autoSpaceDN w:val="0"/>
              <w:adjustRightInd w:val="0"/>
              <w:spacing w:line="240" w:lineRule="auto"/>
              <w:rPr>
                <w:rFonts w:ascii="Calibri" w:eastAsia="Times New Roman" w:hAnsi="Calibri" w:cs="Calibri"/>
                <w:color w:val="000000"/>
                <w:sz w:val="22"/>
                <w:szCs w:val="22"/>
              </w:rPr>
            </w:pPr>
            <w:r>
              <w:rPr>
                <w:rFonts w:ascii="Calibri" w:hAnsi="Calibri" w:cs="Arial"/>
                <w:sz w:val="20"/>
                <w:szCs w:val="20"/>
              </w:rPr>
              <w:t>South Bee House Creek</w:t>
            </w:r>
          </w:p>
        </w:tc>
        <w:tc>
          <w:tcPr>
            <w:tcW w:w="1710" w:type="dxa"/>
            <w:tcBorders>
              <w:top w:val="single" w:sz="4" w:space="0" w:color="808080" w:themeColor="background1" w:themeShade="80"/>
            </w:tcBorders>
            <w:shd w:val="clear" w:color="auto" w:fill="F2F2F2" w:themeFill="background1" w:themeFillShade="F2"/>
            <w:vAlign w:val="center"/>
          </w:tcPr>
          <w:p w14:paraId="120D7328" w14:textId="77777777" w:rsidR="00561DFC" w:rsidRPr="00574955" w:rsidRDefault="00561DFC" w:rsidP="007824FF">
            <w:pPr>
              <w:tabs>
                <w:tab w:val="clear" w:pos="284"/>
              </w:tabs>
              <w:autoSpaceDE w:val="0"/>
              <w:autoSpaceDN w:val="0"/>
              <w:adjustRightInd w:val="0"/>
              <w:spacing w:line="240" w:lineRule="auto"/>
              <w:jc w:val="center"/>
              <w:rPr>
                <w:rFonts w:ascii="Calibri" w:eastAsia="Times New Roman" w:hAnsi="Calibri" w:cs="Calibri"/>
                <w:color w:val="000000"/>
                <w:sz w:val="22"/>
                <w:szCs w:val="22"/>
              </w:rPr>
            </w:pPr>
            <w:r>
              <w:rPr>
                <w:rFonts w:ascii="Calibri" w:hAnsi="Calibri" w:cs="Arial"/>
                <w:sz w:val="20"/>
                <w:szCs w:val="20"/>
              </w:rPr>
              <w:t>120702020203</w:t>
            </w:r>
          </w:p>
        </w:tc>
        <w:tc>
          <w:tcPr>
            <w:tcW w:w="810" w:type="dxa"/>
            <w:tcBorders>
              <w:top w:val="single" w:sz="4" w:space="0" w:color="808080" w:themeColor="background1" w:themeShade="80"/>
            </w:tcBorders>
            <w:shd w:val="clear" w:color="auto" w:fill="F2F2F2" w:themeFill="background1" w:themeFillShade="F2"/>
            <w:vAlign w:val="center"/>
          </w:tcPr>
          <w:p w14:paraId="29078020" w14:textId="46DDB32B" w:rsidR="00561DFC" w:rsidRDefault="00561DFC" w:rsidP="007824FF">
            <w:pPr>
              <w:jc w:val="center"/>
              <w:rPr>
                <w:rFonts w:ascii="Calibri" w:hAnsi="Calibri" w:cs="Arial"/>
                <w:sz w:val="20"/>
                <w:szCs w:val="20"/>
              </w:rPr>
            </w:pPr>
            <w:r>
              <w:rPr>
                <w:rFonts w:ascii="Calibri" w:hAnsi="Calibri" w:cs="Arial"/>
                <w:sz w:val="20"/>
                <w:szCs w:val="20"/>
              </w:rPr>
              <w:t>1,068</w:t>
            </w:r>
          </w:p>
        </w:tc>
        <w:tc>
          <w:tcPr>
            <w:tcW w:w="810" w:type="dxa"/>
            <w:tcBorders>
              <w:top w:val="single" w:sz="4" w:space="0" w:color="808080" w:themeColor="background1" w:themeShade="80"/>
            </w:tcBorders>
            <w:shd w:val="clear" w:color="auto" w:fill="F2F2F2" w:themeFill="background1" w:themeFillShade="F2"/>
            <w:vAlign w:val="center"/>
          </w:tcPr>
          <w:p w14:paraId="1FCB271D" w14:textId="2F63C90C" w:rsidR="00561DFC" w:rsidRDefault="00561DFC" w:rsidP="007824FF">
            <w:pPr>
              <w:jc w:val="center"/>
              <w:rPr>
                <w:rFonts w:ascii="Calibri" w:hAnsi="Calibri" w:cs="Arial"/>
                <w:sz w:val="20"/>
                <w:szCs w:val="20"/>
              </w:rPr>
            </w:pPr>
            <w:r>
              <w:rPr>
                <w:rFonts w:ascii="Calibri" w:hAnsi="Calibri" w:cs="Arial"/>
                <w:sz w:val="20"/>
                <w:szCs w:val="20"/>
              </w:rPr>
              <w:t>62</w:t>
            </w:r>
          </w:p>
        </w:tc>
        <w:tc>
          <w:tcPr>
            <w:tcW w:w="810" w:type="dxa"/>
            <w:tcBorders>
              <w:top w:val="single" w:sz="4" w:space="0" w:color="808080" w:themeColor="background1" w:themeShade="80"/>
            </w:tcBorders>
            <w:shd w:val="clear" w:color="auto" w:fill="F2F2F2" w:themeFill="background1" w:themeFillShade="F2"/>
            <w:vAlign w:val="center"/>
          </w:tcPr>
          <w:p w14:paraId="4FA8550E" w14:textId="6EFD2C6B" w:rsidR="00561DFC" w:rsidRDefault="00561DFC" w:rsidP="007824FF">
            <w:pPr>
              <w:jc w:val="center"/>
              <w:rPr>
                <w:rFonts w:ascii="Calibri" w:hAnsi="Calibri" w:cs="Arial"/>
                <w:sz w:val="20"/>
                <w:szCs w:val="20"/>
              </w:rPr>
            </w:pPr>
            <w:r>
              <w:rPr>
                <w:rFonts w:ascii="Calibri" w:hAnsi="Calibri" w:cs="Arial"/>
                <w:sz w:val="20"/>
                <w:szCs w:val="20"/>
              </w:rPr>
              <w:t>1,006</w:t>
            </w:r>
          </w:p>
        </w:tc>
        <w:tc>
          <w:tcPr>
            <w:tcW w:w="720" w:type="dxa"/>
            <w:tcBorders>
              <w:top w:val="single" w:sz="4" w:space="0" w:color="808080" w:themeColor="background1" w:themeShade="80"/>
            </w:tcBorders>
            <w:shd w:val="clear" w:color="auto" w:fill="F2F2F2" w:themeFill="background1" w:themeFillShade="F2"/>
            <w:vAlign w:val="center"/>
          </w:tcPr>
          <w:p w14:paraId="07D3EBE8" w14:textId="2563A504" w:rsidR="00561DFC" w:rsidRDefault="00561DFC" w:rsidP="007824FF">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94%</w:t>
            </w:r>
          </w:p>
        </w:tc>
        <w:tc>
          <w:tcPr>
            <w:tcW w:w="1350" w:type="dxa"/>
            <w:tcBorders>
              <w:top w:val="single" w:sz="4" w:space="0" w:color="808080" w:themeColor="background1" w:themeShade="80"/>
            </w:tcBorders>
            <w:shd w:val="clear" w:color="auto" w:fill="F2F2F2" w:themeFill="background1" w:themeFillShade="F2"/>
            <w:vAlign w:val="center"/>
          </w:tcPr>
          <w:p w14:paraId="680DD362" w14:textId="742059AB" w:rsidR="00561DFC" w:rsidRPr="00574955" w:rsidRDefault="00561DFC" w:rsidP="007824FF">
            <w:pPr>
              <w:tabs>
                <w:tab w:val="clear" w:pos="284"/>
              </w:tabs>
              <w:autoSpaceDE w:val="0"/>
              <w:autoSpaceDN w:val="0"/>
              <w:adjustRightInd w:val="0"/>
              <w:spacing w:line="240" w:lineRule="auto"/>
              <w:jc w:val="center"/>
              <w:rPr>
                <w:rFonts w:ascii="Calibri" w:eastAsia="Times New Roman" w:hAnsi="Calibri" w:cs="Calibri"/>
                <w:color w:val="000000"/>
                <w:sz w:val="22"/>
                <w:szCs w:val="22"/>
              </w:rPr>
            </w:pPr>
            <w:r>
              <w:rPr>
                <w:rFonts w:ascii="Calibri" w:hAnsi="Calibri" w:cs="Arial"/>
                <w:sz w:val="20"/>
                <w:szCs w:val="20"/>
              </w:rPr>
              <w:t>Pass</w:t>
            </w:r>
          </w:p>
        </w:tc>
        <w:tc>
          <w:tcPr>
            <w:tcW w:w="990" w:type="dxa"/>
            <w:tcBorders>
              <w:top w:val="single" w:sz="4" w:space="0" w:color="808080" w:themeColor="background1" w:themeShade="80"/>
            </w:tcBorders>
            <w:shd w:val="clear" w:color="auto" w:fill="F2F2F2" w:themeFill="background1" w:themeFillShade="F2"/>
            <w:vAlign w:val="center"/>
          </w:tcPr>
          <w:p w14:paraId="757347F7" w14:textId="285895C8" w:rsidR="00561DFC" w:rsidRPr="00F05AAD" w:rsidRDefault="00561DFC" w:rsidP="007824FF">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2.9</w:t>
            </w:r>
          </w:p>
        </w:tc>
      </w:tr>
      <w:tr w:rsidR="00561DFC" w:rsidRPr="00F05AAD" w14:paraId="7EF377FB" w14:textId="77777777" w:rsidTr="008A47D0">
        <w:trPr>
          <w:trHeight w:val="413"/>
          <w:jc w:val="center"/>
        </w:trPr>
        <w:tc>
          <w:tcPr>
            <w:tcW w:w="2790" w:type="dxa"/>
            <w:shd w:val="clear" w:color="auto" w:fill="auto"/>
            <w:vAlign w:val="center"/>
          </w:tcPr>
          <w:p w14:paraId="33B5E444" w14:textId="77777777" w:rsidR="00561DFC" w:rsidRDefault="00561DFC" w:rsidP="007824FF">
            <w:pPr>
              <w:tabs>
                <w:tab w:val="clear" w:pos="284"/>
              </w:tabs>
              <w:autoSpaceDE w:val="0"/>
              <w:autoSpaceDN w:val="0"/>
              <w:adjustRightInd w:val="0"/>
              <w:spacing w:line="240" w:lineRule="auto"/>
              <w:rPr>
                <w:rFonts w:ascii="Calibri" w:eastAsia="Times New Roman" w:hAnsi="Calibri" w:cs="Calibri"/>
                <w:color w:val="000000"/>
                <w:sz w:val="22"/>
                <w:szCs w:val="22"/>
              </w:rPr>
            </w:pPr>
            <w:r>
              <w:rPr>
                <w:rFonts w:ascii="Calibri" w:hAnsi="Calibri" w:cs="Arial"/>
                <w:sz w:val="20"/>
                <w:szCs w:val="20"/>
              </w:rPr>
              <w:t>Stampede Creek-Cowhouse Creek</w:t>
            </w:r>
          </w:p>
        </w:tc>
        <w:tc>
          <w:tcPr>
            <w:tcW w:w="1710" w:type="dxa"/>
            <w:shd w:val="clear" w:color="auto" w:fill="auto"/>
            <w:vAlign w:val="center"/>
          </w:tcPr>
          <w:p w14:paraId="6402D579" w14:textId="77777777" w:rsidR="00561DFC" w:rsidRPr="00574955" w:rsidRDefault="00561DFC" w:rsidP="007824FF">
            <w:pPr>
              <w:tabs>
                <w:tab w:val="clear" w:pos="284"/>
              </w:tabs>
              <w:autoSpaceDE w:val="0"/>
              <w:autoSpaceDN w:val="0"/>
              <w:adjustRightInd w:val="0"/>
              <w:spacing w:line="240" w:lineRule="auto"/>
              <w:jc w:val="center"/>
              <w:rPr>
                <w:rFonts w:ascii="Calibri" w:eastAsia="Times New Roman" w:hAnsi="Calibri" w:cs="Calibri"/>
                <w:color w:val="000000"/>
                <w:sz w:val="22"/>
                <w:szCs w:val="22"/>
              </w:rPr>
            </w:pPr>
            <w:r>
              <w:rPr>
                <w:rFonts w:ascii="Calibri" w:hAnsi="Calibri" w:cs="Arial"/>
                <w:sz w:val="20"/>
                <w:szCs w:val="20"/>
              </w:rPr>
              <w:t>120702020305</w:t>
            </w:r>
          </w:p>
        </w:tc>
        <w:tc>
          <w:tcPr>
            <w:tcW w:w="810" w:type="dxa"/>
            <w:shd w:val="clear" w:color="auto" w:fill="auto"/>
            <w:vAlign w:val="center"/>
          </w:tcPr>
          <w:p w14:paraId="5BC47BD1" w14:textId="12908A83" w:rsidR="00561DFC" w:rsidRDefault="00561DFC" w:rsidP="007824FF">
            <w:pPr>
              <w:jc w:val="center"/>
              <w:rPr>
                <w:rFonts w:ascii="Calibri" w:hAnsi="Calibri" w:cs="Arial"/>
                <w:sz w:val="20"/>
                <w:szCs w:val="20"/>
              </w:rPr>
            </w:pPr>
            <w:r>
              <w:rPr>
                <w:rFonts w:ascii="Calibri" w:hAnsi="Calibri" w:cs="Arial"/>
                <w:sz w:val="20"/>
                <w:szCs w:val="20"/>
              </w:rPr>
              <w:t>1,690</w:t>
            </w:r>
          </w:p>
        </w:tc>
        <w:tc>
          <w:tcPr>
            <w:tcW w:w="810" w:type="dxa"/>
            <w:shd w:val="clear" w:color="auto" w:fill="auto"/>
            <w:vAlign w:val="center"/>
          </w:tcPr>
          <w:p w14:paraId="1BCEDA3E" w14:textId="020CB5E1" w:rsidR="00561DFC" w:rsidRDefault="00561DFC" w:rsidP="007824FF">
            <w:pPr>
              <w:jc w:val="center"/>
              <w:rPr>
                <w:rFonts w:ascii="Calibri" w:hAnsi="Calibri" w:cs="Arial"/>
                <w:sz w:val="20"/>
                <w:szCs w:val="20"/>
              </w:rPr>
            </w:pPr>
            <w:r>
              <w:rPr>
                <w:rFonts w:ascii="Calibri" w:hAnsi="Calibri" w:cs="Arial"/>
                <w:sz w:val="20"/>
                <w:szCs w:val="20"/>
              </w:rPr>
              <w:t>76</w:t>
            </w:r>
          </w:p>
        </w:tc>
        <w:tc>
          <w:tcPr>
            <w:tcW w:w="810" w:type="dxa"/>
            <w:shd w:val="clear" w:color="auto" w:fill="auto"/>
            <w:vAlign w:val="center"/>
          </w:tcPr>
          <w:p w14:paraId="699743C7" w14:textId="64A90B99" w:rsidR="00561DFC" w:rsidRDefault="00561DFC" w:rsidP="007824FF">
            <w:pPr>
              <w:jc w:val="center"/>
              <w:rPr>
                <w:rFonts w:ascii="Calibri" w:hAnsi="Calibri" w:cs="Arial"/>
                <w:sz w:val="20"/>
                <w:szCs w:val="20"/>
              </w:rPr>
            </w:pPr>
            <w:r>
              <w:rPr>
                <w:rFonts w:ascii="Calibri" w:hAnsi="Calibri" w:cs="Arial"/>
                <w:sz w:val="20"/>
                <w:szCs w:val="20"/>
              </w:rPr>
              <w:t>1,614</w:t>
            </w:r>
          </w:p>
        </w:tc>
        <w:tc>
          <w:tcPr>
            <w:tcW w:w="720" w:type="dxa"/>
            <w:shd w:val="clear" w:color="auto" w:fill="auto"/>
            <w:vAlign w:val="center"/>
          </w:tcPr>
          <w:p w14:paraId="6B101F87" w14:textId="523126E3" w:rsidR="00561DFC" w:rsidRDefault="00561DFC" w:rsidP="007824FF">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96%</w:t>
            </w:r>
          </w:p>
        </w:tc>
        <w:tc>
          <w:tcPr>
            <w:tcW w:w="1350" w:type="dxa"/>
            <w:shd w:val="clear" w:color="auto" w:fill="auto"/>
            <w:vAlign w:val="center"/>
          </w:tcPr>
          <w:p w14:paraId="64967002" w14:textId="1D9AE849" w:rsidR="00561DFC" w:rsidRPr="00574955" w:rsidRDefault="00561DFC" w:rsidP="007824FF">
            <w:pPr>
              <w:tabs>
                <w:tab w:val="clear" w:pos="284"/>
              </w:tabs>
              <w:autoSpaceDE w:val="0"/>
              <w:autoSpaceDN w:val="0"/>
              <w:adjustRightInd w:val="0"/>
              <w:spacing w:line="240" w:lineRule="auto"/>
              <w:jc w:val="center"/>
              <w:rPr>
                <w:rFonts w:ascii="Calibri" w:eastAsia="Times New Roman" w:hAnsi="Calibri" w:cs="Calibri"/>
                <w:color w:val="000000"/>
                <w:sz w:val="22"/>
                <w:szCs w:val="22"/>
              </w:rPr>
            </w:pPr>
            <w:r>
              <w:rPr>
                <w:rFonts w:ascii="Calibri" w:hAnsi="Calibri" w:cs="Arial"/>
                <w:sz w:val="20"/>
                <w:szCs w:val="20"/>
              </w:rPr>
              <w:t>Pass</w:t>
            </w:r>
          </w:p>
        </w:tc>
        <w:tc>
          <w:tcPr>
            <w:tcW w:w="990" w:type="dxa"/>
            <w:shd w:val="clear" w:color="auto" w:fill="auto"/>
            <w:vAlign w:val="center"/>
          </w:tcPr>
          <w:p w14:paraId="7A53E134" w14:textId="288D2B31" w:rsidR="00561DFC" w:rsidRPr="00F05AAD" w:rsidRDefault="00561DFC" w:rsidP="007824FF">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1.2</w:t>
            </w:r>
          </w:p>
        </w:tc>
      </w:tr>
      <w:tr w:rsidR="00561DFC" w:rsidRPr="00F05AAD" w14:paraId="3454FB1B" w14:textId="77777777" w:rsidTr="007824FF">
        <w:trPr>
          <w:trHeight w:val="413"/>
          <w:jc w:val="center"/>
        </w:trPr>
        <w:tc>
          <w:tcPr>
            <w:tcW w:w="2790" w:type="dxa"/>
            <w:shd w:val="clear" w:color="auto" w:fill="F2F2F2" w:themeFill="background1" w:themeFillShade="F2"/>
            <w:vAlign w:val="center"/>
          </w:tcPr>
          <w:p w14:paraId="5D4ECE32" w14:textId="77777777" w:rsidR="00561DFC" w:rsidRDefault="00561DFC" w:rsidP="007824FF">
            <w:pPr>
              <w:tabs>
                <w:tab w:val="clear" w:pos="284"/>
              </w:tabs>
              <w:autoSpaceDE w:val="0"/>
              <w:autoSpaceDN w:val="0"/>
              <w:adjustRightInd w:val="0"/>
              <w:spacing w:line="240" w:lineRule="auto"/>
              <w:rPr>
                <w:rFonts w:ascii="Calibri" w:eastAsia="Times New Roman" w:hAnsi="Calibri" w:cs="Calibri"/>
                <w:color w:val="000000"/>
                <w:sz w:val="22"/>
                <w:szCs w:val="22"/>
              </w:rPr>
            </w:pPr>
            <w:r>
              <w:rPr>
                <w:rFonts w:ascii="Calibri" w:hAnsi="Calibri" w:cs="Arial"/>
                <w:sz w:val="20"/>
                <w:szCs w:val="20"/>
              </w:rPr>
              <w:t>Table Rock Creek</w:t>
            </w:r>
          </w:p>
        </w:tc>
        <w:tc>
          <w:tcPr>
            <w:tcW w:w="1710" w:type="dxa"/>
            <w:shd w:val="clear" w:color="auto" w:fill="F2F2F2" w:themeFill="background1" w:themeFillShade="F2"/>
            <w:vAlign w:val="center"/>
          </w:tcPr>
          <w:p w14:paraId="3349314D" w14:textId="77777777" w:rsidR="00561DFC" w:rsidRPr="00574955" w:rsidRDefault="00561DFC" w:rsidP="007824FF">
            <w:pPr>
              <w:tabs>
                <w:tab w:val="clear" w:pos="284"/>
              </w:tabs>
              <w:autoSpaceDE w:val="0"/>
              <w:autoSpaceDN w:val="0"/>
              <w:adjustRightInd w:val="0"/>
              <w:spacing w:line="240" w:lineRule="auto"/>
              <w:jc w:val="center"/>
              <w:rPr>
                <w:rFonts w:ascii="Calibri" w:eastAsia="Times New Roman" w:hAnsi="Calibri" w:cs="Calibri"/>
                <w:color w:val="000000"/>
                <w:sz w:val="22"/>
                <w:szCs w:val="22"/>
              </w:rPr>
            </w:pPr>
            <w:r>
              <w:rPr>
                <w:rFonts w:ascii="Calibri" w:hAnsi="Calibri" w:cs="Arial"/>
                <w:sz w:val="20"/>
                <w:szCs w:val="20"/>
              </w:rPr>
              <w:t>120702020302</w:t>
            </w:r>
          </w:p>
        </w:tc>
        <w:tc>
          <w:tcPr>
            <w:tcW w:w="810" w:type="dxa"/>
            <w:shd w:val="clear" w:color="auto" w:fill="F2F2F2" w:themeFill="background1" w:themeFillShade="F2"/>
            <w:vAlign w:val="center"/>
          </w:tcPr>
          <w:p w14:paraId="19F52859" w14:textId="10CDA980" w:rsidR="00561DFC" w:rsidRDefault="00561DFC" w:rsidP="007824FF">
            <w:pPr>
              <w:jc w:val="center"/>
              <w:rPr>
                <w:rFonts w:ascii="Calibri" w:hAnsi="Calibri" w:cs="Arial"/>
                <w:sz w:val="20"/>
                <w:szCs w:val="20"/>
              </w:rPr>
            </w:pPr>
            <w:r>
              <w:rPr>
                <w:rFonts w:ascii="Calibri" w:hAnsi="Calibri" w:cs="Arial"/>
                <w:sz w:val="20"/>
                <w:szCs w:val="20"/>
              </w:rPr>
              <w:t>2,258</w:t>
            </w:r>
          </w:p>
        </w:tc>
        <w:tc>
          <w:tcPr>
            <w:tcW w:w="810" w:type="dxa"/>
            <w:shd w:val="clear" w:color="auto" w:fill="F2F2F2" w:themeFill="background1" w:themeFillShade="F2"/>
            <w:vAlign w:val="center"/>
          </w:tcPr>
          <w:p w14:paraId="6D199BD9" w14:textId="51A4DCE3" w:rsidR="00561DFC" w:rsidRDefault="00561DFC" w:rsidP="007824FF">
            <w:pPr>
              <w:jc w:val="center"/>
              <w:rPr>
                <w:rFonts w:ascii="Calibri" w:hAnsi="Calibri" w:cs="Arial"/>
                <w:sz w:val="20"/>
                <w:szCs w:val="20"/>
              </w:rPr>
            </w:pPr>
            <w:r>
              <w:rPr>
                <w:rFonts w:ascii="Calibri" w:hAnsi="Calibri" w:cs="Arial"/>
                <w:sz w:val="20"/>
                <w:szCs w:val="20"/>
              </w:rPr>
              <w:t>186</w:t>
            </w:r>
          </w:p>
        </w:tc>
        <w:tc>
          <w:tcPr>
            <w:tcW w:w="810" w:type="dxa"/>
            <w:shd w:val="clear" w:color="auto" w:fill="F2F2F2" w:themeFill="background1" w:themeFillShade="F2"/>
            <w:vAlign w:val="center"/>
          </w:tcPr>
          <w:p w14:paraId="0A7CB28C" w14:textId="6351F6A1" w:rsidR="00561DFC" w:rsidRDefault="00561DFC" w:rsidP="007824FF">
            <w:pPr>
              <w:jc w:val="center"/>
              <w:rPr>
                <w:rFonts w:ascii="Calibri" w:hAnsi="Calibri" w:cs="Arial"/>
                <w:sz w:val="20"/>
                <w:szCs w:val="20"/>
              </w:rPr>
            </w:pPr>
            <w:r>
              <w:rPr>
                <w:rFonts w:ascii="Calibri" w:hAnsi="Calibri" w:cs="Arial"/>
                <w:sz w:val="20"/>
                <w:szCs w:val="20"/>
              </w:rPr>
              <w:t>2,072</w:t>
            </w:r>
          </w:p>
        </w:tc>
        <w:tc>
          <w:tcPr>
            <w:tcW w:w="720" w:type="dxa"/>
            <w:shd w:val="clear" w:color="auto" w:fill="F2F2F2" w:themeFill="background1" w:themeFillShade="F2"/>
            <w:vAlign w:val="center"/>
          </w:tcPr>
          <w:p w14:paraId="6CDA48BF" w14:textId="7F3D01EC" w:rsidR="00561DFC" w:rsidRDefault="00561DFC" w:rsidP="007824FF">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92%</w:t>
            </w:r>
          </w:p>
        </w:tc>
        <w:tc>
          <w:tcPr>
            <w:tcW w:w="1350" w:type="dxa"/>
            <w:shd w:val="clear" w:color="auto" w:fill="F2F2F2" w:themeFill="background1" w:themeFillShade="F2"/>
            <w:vAlign w:val="center"/>
          </w:tcPr>
          <w:p w14:paraId="0D25C7D1" w14:textId="5858E4C3" w:rsidR="00561DFC" w:rsidRPr="00574955" w:rsidRDefault="00561DFC" w:rsidP="007824FF">
            <w:pPr>
              <w:tabs>
                <w:tab w:val="clear" w:pos="284"/>
              </w:tabs>
              <w:autoSpaceDE w:val="0"/>
              <w:autoSpaceDN w:val="0"/>
              <w:adjustRightInd w:val="0"/>
              <w:spacing w:line="240" w:lineRule="auto"/>
              <w:jc w:val="center"/>
              <w:rPr>
                <w:rFonts w:ascii="Calibri" w:eastAsia="Times New Roman" w:hAnsi="Calibri" w:cs="Calibri"/>
                <w:color w:val="000000"/>
                <w:sz w:val="22"/>
                <w:szCs w:val="22"/>
              </w:rPr>
            </w:pPr>
            <w:r>
              <w:rPr>
                <w:rFonts w:ascii="Calibri" w:hAnsi="Calibri" w:cs="Arial"/>
                <w:sz w:val="20"/>
                <w:szCs w:val="20"/>
              </w:rPr>
              <w:t>Pass</w:t>
            </w:r>
          </w:p>
        </w:tc>
        <w:tc>
          <w:tcPr>
            <w:tcW w:w="990" w:type="dxa"/>
            <w:shd w:val="clear" w:color="auto" w:fill="F2F2F2" w:themeFill="background1" w:themeFillShade="F2"/>
            <w:vAlign w:val="center"/>
          </w:tcPr>
          <w:p w14:paraId="7D6F5D23" w14:textId="5425FCC4" w:rsidR="00561DFC" w:rsidRPr="00F05AAD" w:rsidRDefault="00561DFC" w:rsidP="007824FF">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3.3</w:t>
            </w:r>
          </w:p>
        </w:tc>
      </w:tr>
    </w:tbl>
    <w:p w14:paraId="15F0DEA1" w14:textId="77777777" w:rsidR="00131303" w:rsidRPr="00B31133" w:rsidRDefault="00131303" w:rsidP="00B31133">
      <w:pPr>
        <w:pStyle w:val="BodyText"/>
      </w:pPr>
    </w:p>
    <w:p w14:paraId="5B771817" w14:textId="4CBB7753" w:rsidR="00E209B0" w:rsidRDefault="00E209B0" w:rsidP="001F4E43">
      <w:pPr>
        <w:pStyle w:val="Heading3"/>
      </w:pPr>
      <w:bookmarkStart w:id="308" w:name="_Toc112244151"/>
      <w:r>
        <w:t>Validation Results</w:t>
      </w:r>
      <w:bookmarkEnd w:id="308"/>
      <w:r>
        <w:t xml:space="preserve"> </w:t>
      </w:r>
    </w:p>
    <w:p w14:paraId="24EACB33" w14:textId="724D2430" w:rsidR="00860875" w:rsidRPr="001F4E43" w:rsidRDefault="007E3CB5" w:rsidP="0072554E">
      <w:pPr>
        <w:pStyle w:val="BodyText"/>
      </w:pPr>
      <w:r w:rsidRPr="001F4E43">
        <w:t xml:space="preserve">Based on the validation assessments and BLE comparison results described above, the CNMS inventory of Zone A studies in the </w:t>
      </w:r>
      <w:r w:rsidR="00BB77E3">
        <w:t>Cowhouse</w:t>
      </w:r>
      <w:r w:rsidRPr="001F4E43">
        <w:t xml:space="preserve"> </w:t>
      </w:r>
      <w:r w:rsidR="005C72F6" w:rsidRPr="005C72F6">
        <w:t>watershed</w:t>
      </w:r>
      <w:r w:rsidRPr="001F4E43">
        <w:t xml:space="preserve"> has been updated as summarized in </w:t>
      </w:r>
      <w:r w:rsidRPr="001F4E43">
        <w:fldChar w:fldCharType="begin"/>
      </w:r>
      <w:r w:rsidRPr="001F4E43">
        <w:instrText xml:space="preserve"> REF _Ref490041528 \h </w:instrText>
      </w:r>
      <w:r w:rsidR="001F4E43">
        <w:instrText xml:space="preserve"> \* MERGEFORMAT </w:instrText>
      </w:r>
      <w:r w:rsidRPr="001F4E43">
        <w:fldChar w:fldCharType="separate"/>
      </w:r>
      <w:r w:rsidR="007D7CA7" w:rsidRPr="00FD7113">
        <w:t xml:space="preserve">Table </w:t>
      </w:r>
      <w:r w:rsidR="007D7CA7">
        <w:rPr>
          <w:noProof/>
        </w:rPr>
        <w:t>16</w:t>
      </w:r>
      <w:r w:rsidRPr="001F4E43">
        <w:fldChar w:fldCharType="end"/>
      </w:r>
      <w:r w:rsidRPr="001F4E43">
        <w:t xml:space="preserve"> and illustrated in </w:t>
      </w:r>
      <w:r w:rsidR="00860875">
        <w:fldChar w:fldCharType="begin"/>
      </w:r>
      <w:r w:rsidR="00860875">
        <w:instrText xml:space="preserve"> REF _Ref82514567 \h  \* MERGEFORMAT </w:instrText>
      </w:r>
      <w:r w:rsidR="00860875">
        <w:fldChar w:fldCharType="separate"/>
      </w:r>
      <w:r w:rsidR="007D7CA7">
        <w:t>Figure 8</w:t>
      </w:r>
      <w:r w:rsidR="00860875">
        <w:fldChar w:fldCharType="end"/>
      </w:r>
      <w:r w:rsidR="00860875">
        <w:t xml:space="preserve">. </w:t>
      </w:r>
    </w:p>
    <w:p w14:paraId="21C0A59D" w14:textId="5E8235F2" w:rsidR="007E3CB5" w:rsidRPr="001F4E43" w:rsidRDefault="007E3CB5" w:rsidP="007E3CB5">
      <w:pPr>
        <w:pStyle w:val="2Body-Text"/>
        <w:rPr>
          <w:sz w:val="18"/>
          <w:szCs w:val="18"/>
        </w:rPr>
      </w:pPr>
    </w:p>
    <w:p w14:paraId="769E4E46" w14:textId="7CA048F2" w:rsidR="007E3CB5" w:rsidRDefault="007E3CB5" w:rsidP="007E3CB5">
      <w:pPr>
        <w:pStyle w:val="Caption"/>
        <w:jc w:val="center"/>
      </w:pPr>
      <w:bookmarkStart w:id="309" w:name="_Ref490041528"/>
      <w:bookmarkStart w:id="310" w:name="_Toc112244179"/>
      <w:r w:rsidRPr="00FD7113">
        <w:t xml:space="preserve">Table </w:t>
      </w:r>
      <w:r>
        <w:fldChar w:fldCharType="begin"/>
      </w:r>
      <w:r>
        <w:instrText xml:space="preserve"> SEQ Table \* ARABIC </w:instrText>
      </w:r>
      <w:r>
        <w:fldChar w:fldCharType="separate"/>
      </w:r>
      <w:r w:rsidR="007D7CA7">
        <w:rPr>
          <w:noProof/>
        </w:rPr>
        <w:t>16</w:t>
      </w:r>
      <w:r>
        <w:rPr>
          <w:noProof/>
        </w:rPr>
        <w:fldChar w:fldCharType="end"/>
      </w:r>
      <w:bookmarkEnd w:id="309"/>
      <w:r w:rsidRPr="00FD7113">
        <w:t>: Zone A Validation Results</w:t>
      </w:r>
      <w:bookmarkEnd w:id="310"/>
    </w:p>
    <w:tbl>
      <w:tblPr>
        <w:tblStyle w:val="CompassTable"/>
        <w:tblW w:w="5058" w:type="dxa"/>
        <w:jc w:val="center"/>
        <w:tblLayout w:type="fixed"/>
        <w:tblLook w:val="04A0" w:firstRow="1" w:lastRow="0" w:firstColumn="1" w:lastColumn="0" w:noHBand="0" w:noVBand="1"/>
      </w:tblPr>
      <w:tblGrid>
        <w:gridCol w:w="1818"/>
        <w:gridCol w:w="1800"/>
        <w:gridCol w:w="1440"/>
      </w:tblGrid>
      <w:tr w:rsidR="007E3CB5" w:rsidRPr="007E3CB5" w14:paraId="185DE4DD" w14:textId="77777777" w:rsidTr="00BC6495">
        <w:trPr>
          <w:cnfStyle w:val="100000000000" w:firstRow="1" w:lastRow="0" w:firstColumn="0" w:lastColumn="0" w:oddVBand="0" w:evenVBand="0" w:oddHBand="0" w:evenHBand="0" w:firstRowFirstColumn="0" w:firstRowLastColumn="0" w:lastRowFirstColumn="0" w:lastRowLastColumn="0"/>
          <w:trHeight w:val="404"/>
          <w:jc w:val="center"/>
        </w:trPr>
        <w:tc>
          <w:tcPr>
            <w:tcW w:w="1818" w:type="dxa"/>
            <w:shd w:val="clear" w:color="auto" w:fill="00B5E2" w:themeFill="accent1"/>
            <w:hideMark/>
          </w:tcPr>
          <w:p w14:paraId="322DD641" w14:textId="77777777" w:rsidR="007E3CB5" w:rsidRPr="007E3CB5" w:rsidRDefault="007E3CB5" w:rsidP="00E62342">
            <w:r w:rsidRPr="007E3CB5">
              <w:t>Validation Status</w:t>
            </w:r>
          </w:p>
        </w:tc>
        <w:tc>
          <w:tcPr>
            <w:tcW w:w="1800" w:type="dxa"/>
            <w:shd w:val="clear" w:color="auto" w:fill="00B5E2" w:themeFill="accent1"/>
            <w:hideMark/>
          </w:tcPr>
          <w:p w14:paraId="23815B00" w14:textId="77777777" w:rsidR="007E3CB5" w:rsidRPr="007E3CB5" w:rsidRDefault="007E3CB5" w:rsidP="00E62342">
            <w:r w:rsidRPr="007E3CB5">
              <w:t>Status Type</w:t>
            </w:r>
          </w:p>
        </w:tc>
        <w:tc>
          <w:tcPr>
            <w:tcW w:w="1440" w:type="dxa"/>
            <w:shd w:val="clear" w:color="auto" w:fill="00B5E2" w:themeFill="accent1"/>
            <w:hideMark/>
          </w:tcPr>
          <w:p w14:paraId="348CCB3E" w14:textId="77777777" w:rsidR="007E3CB5" w:rsidRPr="007E3CB5" w:rsidRDefault="007E3CB5" w:rsidP="00E62342">
            <w:pPr>
              <w:jc w:val="center"/>
            </w:pPr>
            <w:r w:rsidRPr="007E3CB5">
              <w:t>Total Miles</w:t>
            </w:r>
          </w:p>
        </w:tc>
      </w:tr>
      <w:tr w:rsidR="007E3CB5" w:rsidRPr="007E3CB5" w14:paraId="22262C01" w14:textId="77777777" w:rsidTr="00E62342">
        <w:trPr>
          <w:cnfStyle w:val="000000100000" w:firstRow="0" w:lastRow="0" w:firstColumn="0" w:lastColumn="0" w:oddVBand="0" w:evenVBand="0" w:oddHBand="1" w:evenHBand="0" w:firstRowFirstColumn="0" w:firstRowLastColumn="0" w:lastRowFirstColumn="0" w:lastRowLastColumn="0"/>
          <w:jc w:val="center"/>
        </w:trPr>
        <w:tc>
          <w:tcPr>
            <w:tcW w:w="1818" w:type="dxa"/>
            <w:hideMark/>
          </w:tcPr>
          <w:p w14:paraId="6521B5DE" w14:textId="77777777" w:rsidR="007E3CB5" w:rsidRPr="007E3CB5" w:rsidRDefault="007E3CB5" w:rsidP="00E62342">
            <w:r w:rsidRPr="007E3CB5">
              <w:t>VALID</w:t>
            </w:r>
          </w:p>
        </w:tc>
        <w:tc>
          <w:tcPr>
            <w:tcW w:w="1800" w:type="dxa"/>
            <w:hideMark/>
          </w:tcPr>
          <w:p w14:paraId="594AFFB5" w14:textId="77777777" w:rsidR="007E3CB5" w:rsidRPr="007E3CB5" w:rsidRDefault="007E3CB5" w:rsidP="00E62342">
            <w:r w:rsidRPr="007E3CB5">
              <w:t>BEING STUDIED</w:t>
            </w:r>
          </w:p>
        </w:tc>
        <w:tc>
          <w:tcPr>
            <w:tcW w:w="1440" w:type="dxa"/>
          </w:tcPr>
          <w:p w14:paraId="2D409879" w14:textId="784D5418" w:rsidR="007E3CB5" w:rsidRPr="007E3CB5" w:rsidRDefault="004A0415" w:rsidP="00561DFC">
            <w:pPr>
              <w:jc w:val="center"/>
            </w:pPr>
            <w:r>
              <w:t>318.</w:t>
            </w:r>
            <w:r w:rsidR="00561DFC">
              <w:t>5</w:t>
            </w:r>
          </w:p>
        </w:tc>
      </w:tr>
      <w:tr w:rsidR="007E3CB5" w:rsidRPr="009B2120" w14:paraId="2E842DDF" w14:textId="77777777" w:rsidTr="00E62342">
        <w:trPr>
          <w:cnfStyle w:val="000000010000" w:firstRow="0" w:lastRow="0" w:firstColumn="0" w:lastColumn="0" w:oddVBand="0" w:evenVBand="0" w:oddHBand="0" w:evenHBand="1" w:firstRowFirstColumn="0" w:firstRowLastColumn="0" w:lastRowFirstColumn="0" w:lastRowLastColumn="0"/>
          <w:jc w:val="center"/>
        </w:trPr>
        <w:tc>
          <w:tcPr>
            <w:tcW w:w="1818" w:type="dxa"/>
            <w:hideMark/>
          </w:tcPr>
          <w:p w14:paraId="2D72F83C" w14:textId="77777777" w:rsidR="007E3CB5" w:rsidRPr="007E3CB5" w:rsidRDefault="007E3CB5" w:rsidP="00E62342">
            <w:r w:rsidRPr="007E3CB5">
              <w:t>UNVERIFIED</w:t>
            </w:r>
          </w:p>
        </w:tc>
        <w:tc>
          <w:tcPr>
            <w:tcW w:w="1800" w:type="dxa"/>
            <w:hideMark/>
          </w:tcPr>
          <w:p w14:paraId="2EA9CF6B" w14:textId="77777777" w:rsidR="007E3CB5" w:rsidRPr="007E3CB5" w:rsidRDefault="007E3CB5" w:rsidP="00E62342">
            <w:r w:rsidRPr="007E3CB5">
              <w:t>BEING STUDIED</w:t>
            </w:r>
          </w:p>
        </w:tc>
        <w:tc>
          <w:tcPr>
            <w:tcW w:w="1440" w:type="dxa"/>
          </w:tcPr>
          <w:p w14:paraId="4387097F" w14:textId="687015E2" w:rsidR="007E3CB5" w:rsidRPr="00B04E77" w:rsidRDefault="00561DFC" w:rsidP="00E62342">
            <w:pPr>
              <w:jc w:val="center"/>
            </w:pPr>
            <w:r>
              <w:t>15.3</w:t>
            </w:r>
          </w:p>
        </w:tc>
      </w:tr>
    </w:tbl>
    <w:p w14:paraId="38CC6A95" w14:textId="77777777" w:rsidR="007E3CB5" w:rsidRDefault="007E3CB5" w:rsidP="007E3CB5">
      <w:pPr>
        <w:pStyle w:val="2Body-Text"/>
        <w:rPr>
          <w:noProof/>
        </w:rPr>
      </w:pPr>
    </w:p>
    <w:p w14:paraId="1521961F" w14:textId="77777777" w:rsidR="007E3CB5" w:rsidRDefault="007E3CB5" w:rsidP="007E3CB5">
      <w:pPr>
        <w:pStyle w:val="2Body-Text"/>
        <w:rPr>
          <w:noProof/>
        </w:rPr>
      </w:pPr>
    </w:p>
    <w:p w14:paraId="1FE08A99" w14:textId="6FABA184" w:rsidR="007E3CB5" w:rsidRDefault="007E3CB5" w:rsidP="00C23D36">
      <w:pPr>
        <w:pStyle w:val="2Body-Text"/>
        <w:jc w:val="center"/>
        <w:rPr>
          <w:noProof/>
        </w:rPr>
      </w:pPr>
      <w:r>
        <w:rPr>
          <w:noProof/>
        </w:rPr>
        <w:lastRenderedPageBreak/>
        <w:drawing>
          <wp:inline distT="0" distB="0" distL="0" distR="0" wp14:anchorId="266031D4" wp14:editId="5AE635D8">
            <wp:extent cx="5330952" cy="5330952"/>
            <wp:effectExtent l="19050" t="19050" r="22225" b="222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6.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330952" cy="5330952"/>
                    </a:xfrm>
                    <a:prstGeom prst="rect">
                      <a:avLst/>
                    </a:prstGeom>
                    <a:ln w="15875">
                      <a:solidFill>
                        <a:schemeClr val="tx1"/>
                      </a:solidFill>
                    </a:ln>
                  </pic:spPr>
                </pic:pic>
              </a:graphicData>
            </a:graphic>
          </wp:inline>
        </w:drawing>
      </w:r>
    </w:p>
    <w:p w14:paraId="7B2275AB" w14:textId="7FEC1604" w:rsidR="003867C2" w:rsidRDefault="003867C2" w:rsidP="003867C2">
      <w:pPr>
        <w:pStyle w:val="Caption"/>
        <w:jc w:val="center"/>
      </w:pPr>
      <w:bookmarkStart w:id="311" w:name="_Ref82514567"/>
      <w:bookmarkStart w:id="312" w:name="_Toc112244162"/>
      <w:bookmarkStart w:id="313" w:name="_Ref505868354"/>
      <w:r>
        <w:t xml:space="preserve">Figure </w:t>
      </w:r>
      <w:r>
        <w:fldChar w:fldCharType="begin"/>
      </w:r>
      <w:r>
        <w:instrText xml:space="preserve"> SEQ Figure \* ARABIC </w:instrText>
      </w:r>
      <w:r>
        <w:fldChar w:fldCharType="separate"/>
      </w:r>
      <w:r w:rsidR="007D7CA7">
        <w:rPr>
          <w:noProof/>
        </w:rPr>
        <w:t>8</w:t>
      </w:r>
      <w:r>
        <w:fldChar w:fldCharType="end"/>
      </w:r>
      <w:bookmarkEnd w:id="311"/>
      <w:r w:rsidR="0063518A">
        <w:t xml:space="preserve">: </w:t>
      </w:r>
      <w:r w:rsidR="00BB77E3">
        <w:t>Cowhouse</w:t>
      </w:r>
      <w:r w:rsidRPr="00081AB5">
        <w:t xml:space="preserve"> Watershed CNMS Validation Results</w:t>
      </w:r>
      <w:bookmarkEnd w:id="312"/>
    </w:p>
    <w:p w14:paraId="6532571E" w14:textId="77777777" w:rsidR="0072554E" w:rsidRPr="0072554E" w:rsidRDefault="0072554E" w:rsidP="0072554E">
      <w:pPr>
        <w:pStyle w:val="BodyText"/>
      </w:pPr>
    </w:p>
    <w:bookmarkEnd w:id="313"/>
    <w:p w14:paraId="47F7C22D" w14:textId="3123A213" w:rsidR="007E3CB5" w:rsidRPr="001F4E43" w:rsidRDefault="007E3CB5" w:rsidP="0072554E">
      <w:pPr>
        <w:pStyle w:val="BodyText"/>
      </w:pPr>
      <w:r w:rsidRPr="001F4E43">
        <w:t xml:space="preserve">An overall risk for each HUC-12 watershed was calculated using the National Flood Risk Percentages Dataset and its proportional area. The weighted risk was multiplied by the percentage of points in the watershed that failed the CNMS comparison to determine the priority score. </w:t>
      </w:r>
      <w:r w:rsidR="00C55775">
        <w:fldChar w:fldCharType="begin"/>
      </w:r>
      <w:r w:rsidR="00C55775">
        <w:instrText xml:space="preserve"> REF _Ref81923668 \h  \* MERGEFORMAT </w:instrText>
      </w:r>
      <w:r w:rsidR="00C55775">
        <w:fldChar w:fldCharType="separate"/>
      </w:r>
      <w:r w:rsidR="007D7CA7">
        <w:t>Figure 9</w:t>
      </w:r>
      <w:r w:rsidR="00C55775">
        <w:fldChar w:fldCharType="end"/>
      </w:r>
      <w:r w:rsidRPr="001F4E43">
        <w:t xml:space="preserve"> below shows the range of the HUC-12 priority scores which can be used to initiate discussions during the Discovery phase. </w:t>
      </w:r>
    </w:p>
    <w:p w14:paraId="249B9A6B" w14:textId="007FCDE5" w:rsidR="007E3CB5" w:rsidRPr="00DF39C8" w:rsidRDefault="007E3CB5" w:rsidP="001F4E43">
      <w:pPr>
        <w:pStyle w:val="2Body-Text"/>
        <w:jc w:val="center"/>
      </w:pPr>
      <w:r>
        <w:rPr>
          <w:noProof/>
          <w:sz w:val="16"/>
          <w:szCs w:val="16"/>
        </w:rPr>
        <w:lastRenderedPageBreak/>
        <w:drawing>
          <wp:inline distT="0" distB="0" distL="0" distR="0" wp14:anchorId="420A878F" wp14:editId="5921559C">
            <wp:extent cx="5334000" cy="5334000"/>
            <wp:effectExtent l="19050" t="19050" r="19050" b="190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NMS_PriorityMap_1.png"/>
                    <pic:cNvPicPr/>
                  </pic:nvPicPr>
                  <pic:blipFill>
                    <a:blip r:embed="rId22" cstate="print">
                      <a:extLst>
                        <a:ext uri="{28A0092B-C50C-407E-A947-70E740481C1C}">
                          <a14:useLocalDpi xmlns:a14="http://schemas.microsoft.com/office/drawing/2010/main" val="0"/>
                        </a:ext>
                      </a:extLst>
                    </a:blip>
                    <a:stretch>
                      <a:fillRect/>
                    </a:stretch>
                  </pic:blipFill>
                  <pic:spPr bwMode="auto">
                    <a:xfrm>
                      <a:off x="0" y="0"/>
                      <a:ext cx="5334000" cy="5334000"/>
                    </a:xfrm>
                    <a:prstGeom prst="rect">
                      <a:avLst/>
                    </a:prstGeom>
                    <a:ln w="15875">
                      <a:solidFill>
                        <a:schemeClr val="tx1"/>
                      </a:solidFill>
                    </a:ln>
                    <a:extLst>
                      <a:ext uri="{53640926-AAD7-44D8-BBD7-CCE9431645EC}">
                        <a14:shadowObscured xmlns:a14="http://schemas.microsoft.com/office/drawing/2010/main"/>
                      </a:ext>
                    </a:extLst>
                  </pic:spPr>
                </pic:pic>
              </a:graphicData>
            </a:graphic>
          </wp:inline>
        </w:drawing>
      </w:r>
    </w:p>
    <w:p w14:paraId="077CD4FB" w14:textId="5744F589" w:rsidR="003521F5" w:rsidRPr="003521F5" w:rsidRDefault="003867C2" w:rsidP="0072554E">
      <w:pPr>
        <w:pStyle w:val="Caption"/>
        <w:jc w:val="center"/>
      </w:pPr>
      <w:bookmarkStart w:id="314" w:name="_Ref81923668"/>
      <w:bookmarkStart w:id="315" w:name="_Toc112244163"/>
      <w:r>
        <w:t xml:space="preserve">Figure </w:t>
      </w:r>
      <w:r>
        <w:fldChar w:fldCharType="begin"/>
      </w:r>
      <w:r>
        <w:instrText xml:space="preserve"> SEQ Figure \* ARABIC </w:instrText>
      </w:r>
      <w:r>
        <w:fldChar w:fldCharType="separate"/>
      </w:r>
      <w:r w:rsidR="007D7CA7">
        <w:rPr>
          <w:noProof/>
        </w:rPr>
        <w:t>9</w:t>
      </w:r>
      <w:r>
        <w:fldChar w:fldCharType="end"/>
      </w:r>
      <w:bookmarkEnd w:id="314"/>
      <w:r w:rsidR="0063518A">
        <w:t xml:space="preserve">: Ranking of </w:t>
      </w:r>
      <w:r w:rsidR="00BB77E3">
        <w:t>Cowhouse</w:t>
      </w:r>
      <w:r w:rsidRPr="00537B02">
        <w:t xml:space="preserve"> Watershed HUC-12s</w:t>
      </w:r>
      <w:bookmarkEnd w:id="315"/>
    </w:p>
    <w:p w14:paraId="34EF646F" w14:textId="0517B700" w:rsidR="00EC6519" w:rsidRDefault="00E209B0" w:rsidP="00EC6519">
      <w:pPr>
        <w:pStyle w:val="Heading2"/>
      </w:pPr>
      <w:bookmarkStart w:id="316" w:name="_Toc112244152"/>
      <w:r>
        <w:t>Flood Risk Analysis</w:t>
      </w:r>
      <w:bookmarkEnd w:id="316"/>
      <w:r>
        <w:t xml:space="preserve"> </w:t>
      </w:r>
    </w:p>
    <w:p w14:paraId="30AF5A18" w14:textId="036315E2" w:rsidR="00353DB2" w:rsidRPr="00197A2E" w:rsidRDefault="00353DB2" w:rsidP="00353DB2">
      <w:pPr>
        <w:pStyle w:val="2Body-Text"/>
        <w:rPr>
          <w:sz w:val="18"/>
          <w:szCs w:val="18"/>
        </w:rPr>
      </w:pPr>
      <w:r w:rsidRPr="00197A2E">
        <w:rPr>
          <w:sz w:val="18"/>
          <w:szCs w:val="18"/>
        </w:rPr>
        <w:t>A flood risk analysis was performed for this project.  The updated 1</w:t>
      </w:r>
      <w:r w:rsidR="00DB51AA">
        <w:rPr>
          <w:sz w:val="18"/>
          <w:szCs w:val="18"/>
        </w:rPr>
        <w:t>-percent</w:t>
      </w:r>
      <w:r w:rsidRPr="00197A2E">
        <w:rPr>
          <w:sz w:val="18"/>
          <w:szCs w:val="18"/>
        </w:rPr>
        <w:t xml:space="preserve"> annual chance and 0.2</w:t>
      </w:r>
      <w:r w:rsidR="00DB51AA">
        <w:rPr>
          <w:sz w:val="18"/>
          <w:szCs w:val="18"/>
        </w:rPr>
        <w:t>-percent</w:t>
      </w:r>
      <w:r w:rsidRPr="00197A2E">
        <w:rPr>
          <w:sz w:val="18"/>
          <w:szCs w:val="18"/>
        </w:rPr>
        <w:t xml:space="preserve"> annual chance depth grids were used to calculate the potential flood losses.  The loss results are stored in the S_FRAC_AR spatial file within the FRD geodatabase.  All results are reported in whole dollar values.</w:t>
      </w:r>
    </w:p>
    <w:p w14:paraId="522013EC" w14:textId="164D0FCA" w:rsidR="00353DB2" w:rsidRPr="00197A2E" w:rsidRDefault="00353DB2" w:rsidP="00353DB2">
      <w:pPr>
        <w:pStyle w:val="2Body-Text"/>
        <w:rPr>
          <w:sz w:val="18"/>
          <w:szCs w:val="18"/>
        </w:rPr>
      </w:pPr>
      <w:r w:rsidRPr="00197A2E">
        <w:rPr>
          <w:sz w:val="18"/>
          <w:szCs w:val="18"/>
        </w:rPr>
        <w:t xml:space="preserve">Hazus version </w:t>
      </w:r>
      <w:r w:rsidR="004E7F31">
        <w:rPr>
          <w:sz w:val="18"/>
          <w:szCs w:val="18"/>
        </w:rPr>
        <w:t>5.</w:t>
      </w:r>
      <w:r w:rsidR="001710CD">
        <w:rPr>
          <w:sz w:val="18"/>
          <w:szCs w:val="18"/>
        </w:rPr>
        <w:t>1</w:t>
      </w:r>
      <w:r w:rsidRPr="00197A2E">
        <w:rPr>
          <w:sz w:val="18"/>
          <w:szCs w:val="18"/>
        </w:rPr>
        <w:t xml:space="preserve"> was used for the basic and refined loss analysis. </w:t>
      </w:r>
    </w:p>
    <w:p w14:paraId="33A93055" w14:textId="0DB229CB" w:rsidR="00353DB2" w:rsidRPr="00197A2E" w:rsidRDefault="00353DB2" w:rsidP="00353DB2">
      <w:pPr>
        <w:pStyle w:val="2Body-Text"/>
        <w:rPr>
          <w:rStyle w:val="Hyperlink"/>
          <w:sz w:val="18"/>
          <w:szCs w:val="18"/>
        </w:rPr>
      </w:pPr>
      <w:r w:rsidRPr="00197A2E">
        <w:rPr>
          <w:sz w:val="18"/>
          <w:szCs w:val="18"/>
        </w:rPr>
        <w:t>The losses are reported via census blocks.  It is important to note that Hazus version</w:t>
      </w:r>
      <w:r w:rsidR="004E7F31">
        <w:rPr>
          <w:sz w:val="18"/>
          <w:szCs w:val="18"/>
        </w:rPr>
        <w:t xml:space="preserve"> 5.0</w:t>
      </w:r>
      <w:r w:rsidRPr="00197A2E">
        <w:rPr>
          <w:sz w:val="18"/>
          <w:szCs w:val="18"/>
        </w:rPr>
        <w:t xml:space="preserve"> uses dasymetric census blocks.  Dasymetric mapping removes undeveloped areas (such as areas covered by other bodies of water, wetlands, or forests) from the census blocks, changing their shape and reducing their size in these areas.  For more information on dasymetric data visit FEMA’s </w:t>
      </w:r>
      <w:hyperlink r:id="rId23" w:history="1">
        <w:r w:rsidRPr="00197A2E">
          <w:rPr>
            <w:rStyle w:val="Hyperlink"/>
            <w:sz w:val="18"/>
            <w:szCs w:val="18"/>
          </w:rPr>
          <w:t>Media Library</w:t>
        </w:r>
      </w:hyperlink>
      <w:r w:rsidRPr="00197A2E">
        <w:rPr>
          <w:sz w:val="18"/>
          <w:szCs w:val="18"/>
        </w:rPr>
        <w:t xml:space="preserve"> for the </w:t>
      </w:r>
      <w:hyperlink r:id="rId24" w:history="1">
        <w:r w:rsidRPr="00197A2E">
          <w:rPr>
            <w:rStyle w:val="Hyperlink"/>
            <w:sz w:val="18"/>
            <w:szCs w:val="18"/>
          </w:rPr>
          <w:t>Hazus-MH Data Inventories: Dasymetric vs. Homogenous</w:t>
        </w:r>
      </w:hyperlink>
      <w:r w:rsidRPr="00197A2E">
        <w:rPr>
          <w:sz w:val="18"/>
          <w:szCs w:val="18"/>
        </w:rPr>
        <w:t xml:space="preserve">, or </w:t>
      </w:r>
      <w:hyperlink r:id="rId25" w:history="1">
        <w:r w:rsidRPr="00197A2E">
          <w:rPr>
            <w:rStyle w:val="Hyperlink"/>
            <w:sz w:val="18"/>
            <w:szCs w:val="18"/>
          </w:rPr>
          <w:t>Hazus 3.0 Dasymetric Data Overview</w:t>
        </w:r>
      </w:hyperlink>
      <w:r w:rsidRPr="00197A2E">
        <w:rPr>
          <w:rStyle w:val="Hyperlink"/>
          <w:sz w:val="18"/>
          <w:szCs w:val="18"/>
        </w:rPr>
        <w:t>.</w:t>
      </w:r>
    </w:p>
    <w:p w14:paraId="3116E614" w14:textId="344CB06A" w:rsidR="00CA2219" w:rsidRPr="00D15D84" w:rsidRDefault="00353DB2" w:rsidP="00D15D84">
      <w:pPr>
        <w:pStyle w:val="2Body-Text"/>
        <w:rPr>
          <w:sz w:val="18"/>
          <w:szCs w:val="18"/>
        </w:rPr>
      </w:pPr>
      <w:r w:rsidRPr="00197A2E">
        <w:rPr>
          <w:rStyle w:val="Hyperlink"/>
          <w:color w:val="auto"/>
          <w:sz w:val="18"/>
          <w:szCs w:val="18"/>
          <w:u w:val="none"/>
        </w:rPr>
        <w:t xml:space="preserve">Hazus analysis was performed by </w:t>
      </w:r>
      <w:r w:rsidR="00390E88">
        <w:rPr>
          <w:rStyle w:val="Hyperlink"/>
          <w:color w:val="auto"/>
          <w:sz w:val="18"/>
          <w:szCs w:val="18"/>
          <w:u w:val="none"/>
        </w:rPr>
        <w:t>watershed</w:t>
      </w:r>
      <w:r w:rsidRPr="00197A2E">
        <w:rPr>
          <w:rStyle w:val="Hyperlink"/>
          <w:color w:val="auto"/>
          <w:sz w:val="18"/>
          <w:szCs w:val="18"/>
          <w:u w:val="none"/>
        </w:rPr>
        <w:t xml:space="preserve"> extents for each return period to ensure proper model processing. A summary of results for counties </w:t>
      </w:r>
      <w:r w:rsidR="00390E88">
        <w:rPr>
          <w:rStyle w:val="Hyperlink"/>
          <w:color w:val="auto"/>
          <w:sz w:val="18"/>
          <w:szCs w:val="18"/>
          <w:u w:val="none"/>
        </w:rPr>
        <w:t xml:space="preserve">within the watershed </w:t>
      </w:r>
      <w:r w:rsidRPr="00197A2E">
        <w:rPr>
          <w:rStyle w:val="Hyperlink"/>
          <w:color w:val="auto"/>
          <w:sz w:val="18"/>
          <w:szCs w:val="18"/>
          <w:u w:val="none"/>
        </w:rPr>
        <w:t>for the 1-percent a</w:t>
      </w:r>
      <w:r w:rsidR="007E194D">
        <w:rPr>
          <w:rStyle w:val="Hyperlink"/>
          <w:color w:val="auto"/>
          <w:sz w:val="18"/>
          <w:szCs w:val="18"/>
          <w:u w:val="none"/>
        </w:rPr>
        <w:t>nnual chance</w:t>
      </w:r>
      <w:r w:rsidRPr="00197A2E">
        <w:rPr>
          <w:rStyle w:val="Hyperlink"/>
          <w:color w:val="auto"/>
          <w:sz w:val="18"/>
          <w:szCs w:val="18"/>
          <w:u w:val="none"/>
        </w:rPr>
        <w:t xml:space="preserve"> scenarios are shown in </w:t>
      </w:r>
      <w:r w:rsidR="00D15D84">
        <w:rPr>
          <w:rStyle w:val="Hyperlink"/>
          <w:color w:val="auto"/>
          <w:sz w:val="18"/>
          <w:szCs w:val="18"/>
          <w:u w:val="none"/>
        </w:rPr>
        <w:fldChar w:fldCharType="begin"/>
      </w:r>
      <w:r w:rsidR="00D15D84">
        <w:rPr>
          <w:rStyle w:val="Hyperlink"/>
          <w:color w:val="auto"/>
          <w:sz w:val="18"/>
          <w:szCs w:val="18"/>
          <w:u w:val="none"/>
        </w:rPr>
        <w:instrText xml:space="preserve"> REF _Ref82514931 \h  \* MERGEFORMAT </w:instrText>
      </w:r>
      <w:r w:rsidR="00D15D84">
        <w:rPr>
          <w:rStyle w:val="Hyperlink"/>
          <w:color w:val="auto"/>
          <w:sz w:val="18"/>
          <w:szCs w:val="18"/>
          <w:u w:val="none"/>
        </w:rPr>
      </w:r>
      <w:r w:rsidR="00D15D84">
        <w:rPr>
          <w:rStyle w:val="Hyperlink"/>
          <w:color w:val="auto"/>
          <w:sz w:val="18"/>
          <w:szCs w:val="18"/>
          <w:u w:val="none"/>
        </w:rPr>
        <w:fldChar w:fldCharType="separate"/>
      </w:r>
      <w:r w:rsidR="007D7CA7" w:rsidRPr="007D7CA7">
        <w:rPr>
          <w:rStyle w:val="Hyperlink"/>
          <w:color w:val="auto"/>
          <w:sz w:val="18"/>
          <w:szCs w:val="18"/>
          <w:u w:val="none"/>
        </w:rPr>
        <w:t>Table 17</w:t>
      </w:r>
      <w:r w:rsidR="00D15D84">
        <w:rPr>
          <w:rStyle w:val="Hyperlink"/>
          <w:color w:val="auto"/>
          <w:sz w:val="18"/>
          <w:szCs w:val="18"/>
          <w:u w:val="none"/>
        </w:rPr>
        <w:fldChar w:fldCharType="end"/>
      </w:r>
      <w:r w:rsidR="00D15D84">
        <w:rPr>
          <w:rStyle w:val="Hyperlink"/>
          <w:color w:val="auto"/>
          <w:sz w:val="18"/>
          <w:szCs w:val="18"/>
          <w:u w:val="none"/>
        </w:rPr>
        <w:t>.</w:t>
      </w:r>
      <w:r w:rsidR="00390E88" w:rsidRPr="00390E88">
        <w:rPr>
          <w:sz w:val="18"/>
          <w:szCs w:val="18"/>
        </w:rPr>
        <w:t xml:space="preserve"> </w:t>
      </w:r>
      <w:r w:rsidR="00390E88" w:rsidRPr="00FA0D67">
        <w:rPr>
          <w:sz w:val="18"/>
          <w:szCs w:val="18"/>
        </w:rPr>
        <w:t>Totals only reflect data for those census tracts/blocks included in the user</w:t>
      </w:r>
      <w:r w:rsidR="00390E88" w:rsidRPr="00FA0D67">
        <w:t>’</w:t>
      </w:r>
      <w:r w:rsidR="00390E88" w:rsidRPr="00FA0D67">
        <w:rPr>
          <w:sz w:val="18"/>
          <w:szCs w:val="18"/>
        </w:rPr>
        <w:t>s study region and will reflect the entire county</w:t>
      </w:r>
      <w:r w:rsidR="00390E88" w:rsidRPr="00FA0D67">
        <w:t xml:space="preserve"> </w:t>
      </w:r>
      <w:r w:rsidR="00390E88" w:rsidRPr="00FA0D67">
        <w:rPr>
          <w:sz w:val="18"/>
          <w:szCs w:val="18"/>
        </w:rPr>
        <w:t>only if all of the census blocks for that county/state were selected at the time of study region creation.</w:t>
      </w:r>
    </w:p>
    <w:p w14:paraId="2DE0F113" w14:textId="75A43537" w:rsidR="00353DB2" w:rsidRDefault="00353DB2" w:rsidP="00353DB2">
      <w:pPr>
        <w:pStyle w:val="Caption"/>
        <w:jc w:val="center"/>
      </w:pPr>
    </w:p>
    <w:p w14:paraId="12E5D971" w14:textId="73274C22" w:rsidR="00D15D84" w:rsidRDefault="00D15D84" w:rsidP="00D15D84">
      <w:pPr>
        <w:pStyle w:val="Caption"/>
        <w:jc w:val="center"/>
      </w:pPr>
      <w:bookmarkStart w:id="317" w:name="_Ref82514931"/>
      <w:bookmarkStart w:id="318" w:name="_Toc112244180"/>
      <w:r>
        <w:t xml:space="preserve">Table </w:t>
      </w:r>
      <w:r>
        <w:fldChar w:fldCharType="begin"/>
      </w:r>
      <w:r>
        <w:instrText xml:space="preserve"> SEQ Table \* ARABIC </w:instrText>
      </w:r>
      <w:r>
        <w:fldChar w:fldCharType="separate"/>
      </w:r>
      <w:r w:rsidR="007D7CA7">
        <w:rPr>
          <w:noProof/>
        </w:rPr>
        <w:t>17</w:t>
      </w:r>
      <w:r>
        <w:fldChar w:fldCharType="end"/>
      </w:r>
      <w:bookmarkEnd w:id="317"/>
      <w:r w:rsidRPr="009A3E7A">
        <w:t xml:space="preserve">: Hazus </w:t>
      </w:r>
      <w:r w:rsidR="0072554E">
        <w:t>5.1</w:t>
      </w:r>
      <w:r w:rsidRPr="009A3E7A">
        <w:t xml:space="preserve"> Results for 1-Percent-Annual-Chance (100 year) Scenario</w:t>
      </w:r>
      <w:bookmarkEnd w:id="318"/>
    </w:p>
    <w:tbl>
      <w:tblPr>
        <w:tblStyle w:val="CompassTable"/>
        <w:tblW w:w="9489" w:type="dxa"/>
        <w:jc w:val="center"/>
        <w:tblLayout w:type="fixed"/>
        <w:tblLook w:val="04A0" w:firstRow="1" w:lastRow="0" w:firstColumn="1" w:lastColumn="0" w:noHBand="0" w:noVBand="1"/>
      </w:tblPr>
      <w:tblGrid>
        <w:gridCol w:w="1915"/>
        <w:gridCol w:w="2160"/>
        <w:gridCol w:w="2707"/>
        <w:gridCol w:w="2707"/>
      </w:tblGrid>
      <w:tr w:rsidR="004A738C" w:rsidRPr="007E3CB5" w14:paraId="26FA1EE4" w14:textId="47D012D2" w:rsidTr="004A738C">
        <w:trPr>
          <w:cnfStyle w:val="100000000000" w:firstRow="1" w:lastRow="0" w:firstColumn="0" w:lastColumn="0" w:oddVBand="0" w:evenVBand="0" w:oddHBand="0" w:evenHBand="0" w:firstRowFirstColumn="0" w:firstRowLastColumn="0" w:lastRowFirstColumn="0" w:lastRowLastColumn="0"/>
          <w:trHeight w:val="404"/>
          <w:jc w:val="center"/>
        </w:trPr>
        <w:tc>
          <w:tcPr>
            <w:tcW w:w="1915" w:type="dxa"/>
            <w:shd w:val="clear" w:color="auto" w:fill="00B5E2" w:themeFill="accent1"/>
            <w:hideMark/>
          </w:tcPr>
          <w:p w14:paraId="22709721" w14:textId="7DE6D71F" w:rsidR="004A738C" w:rsidRPr="007E3CB5" w:rsidRDefault="004A738C" w:rsidP="00353DB2">
            <w:r>
              <w:t>County</w:t>
            </w:r>
          </w:p>
        </w:tc>
        <w:tc>
          <w:tcPr>
            <w:tcW w:w="2160" w:type="dxa"/>
            <w:shd w:val="clear" w:color="auto" w:fill="00B5E2" w:themeFill="accent1"/>
            <w:hideMark/>
          </w:tcPr>
          <w:p w14:paraId="5462863C" w14:textId="08D69626" w:rsidR="004A738C" w:rsidRPr="007E3CB5" w:rsidRDefault="004A738C" w:rsidP="00353DB2">
            <w:r>
              <w:t>Full Replacement – Total Loss</w:t>
            </w:r>
          </w:p>
        </w:tc>
        <w:tc>
          <w:tcPr>
            <w:tcW w:w="2707" w:type="dxa"/>
            <w:shd w:val="clear" w:color="auto" w:fill="00B5E2" w:themeFill="accent1"/>
            <w:hideMark/>
          </w:tcPr>
          <w:p w14:paraId="09739639" w14:textId="496EB1B3" w:rsidR="004A738C" w:rsidRDefault="00C57801" w:rsidP="00353DB2">
            <w:pPr>
              <w:jc w:val="center"/>
            </w:pPr>
            <w:r>
              <w:t>Dollar Exp</w:t>
            </w:r>
            <w:r w:rsidR="004A738C">
              <w:t>osure</w:t>
            </w:r>
          </w:p>
          <w:p w14:paraId="45C8B9E0" w14:textId="7D14B087" w:rsidR="004A738C" w:rsidRDefault="004A738C" w:rsidP="00353DB2">
            <w:pPr>
              <w:jc w:val="center"/>
            </w:pPr>
            <w:r>
              <w:t>(Replacement Value) -</w:t>
            </w:r>
          </w:p>
          <w:p w14:paraId="62C47CF1" w14:textId="06BCBEC3" w:rsidR="004A738C" w:rsidRPr="007E3CB5" w:rsidRDefault="004A738C" w:rsidP="00353DB2">
            <w:pPr>
              <w:jc w:val="center"/>
            </w:pPr>
            <w:r>
              <w:t>Buildings</w:t>
            </w:r>
          </w:p>
        </w:tc>
        <w:tc>
          <w:tcPr>
            <w:tcW w:w="2707" w:type="dxa"/>
            <w:shd w:val="clear" w:color="auto" w:fill="00B5E2" w:themeFill="accent1"/>
          </w:tcPr>
          <w:p w14:paraId="77600B2F" w14:textId="77777777" w:rsidR="004A738C" w:rsidRDefault="004A738C" w:rsidP="00353DB2">
            <w:pPr>
              <w:jc w:val="center"/>
            </w:pPr>
            <w:r>
              <w:t>Dollar Exposure</w:t>
            </w:r>
          </w:p>
          <w:p w14:paraId="146EDAA2" w14:textId="432A104C" w:rsidR="004A738C" w:rsidRDefault="004A738C" w:rsidP="00353DB2">
            <w:pPr>
              <w:jc w:val="center"/>
            </w:pPr>
            <w:r>
              <w:t>(Replacement Value) - Contents</w:t>
            </w:r>
          </w:p>
        </w:tc>
      </w:tr>
      <w:tr w:rsidR="0072554E" w:rsidRPr="007E3CB5" w14:paraId="08E30FC3" w14:textId="7BC6323E" w:rsidTr="0072554E">
        <w:trPr>
          <w:cnfStyle w:val="000000100000" w:firstRow="0" w:lastRow="0" w:firstColumn="0" w:lastColumn="0" w:oddVBand="0" w:evenVBand="0" w:oddHBand="1" w:evenHBand="0" w:firstRowFirstColumn="0" w:firstRowLastColumn="0" w:lastRowFirstColumn="0" w:lastRowLastColumn="0"/>
          <w:jc w:val="center"/>
        </w:trPr>
        <w:tc>
          <w:tcPr>
            <w:tcW w:w="1915" w:type="dxa"/>
            <w:vAlign w:val="top"/>
          </w:tcPr>
          <w:p w14:paraId="647FD589" w14:textId="75FD0F2C" w:rsidR="0072554E" w:rsidRPr="007E3CB5" w:rsidRDefault="0072554E" w:rsidP="009853DD">
            <w:r w:rsidRPr="00347C42">
              <w:t>Bell</w:t>
            </w:r>
          </w:p>
        </w:tc>
        <w:tc>
          <w:tcPr>
            <w:tcW w:w="2160" w:type="dxa"/>
            <w:vAlign w:val="bottom"/>
          </w:tcPr>
          <w:p w14:paraId="172FD844" w14:textId="629A23A7" w:rsidR="0072554E" w:rsidRPr="0072554E" w:rsidRDefault="0072554E" w:rsidP="001217A3">
            <w:pPr>
              <w:jc w:val="right"/>
            </w:pPr>
            <w:r w:rsidRPr="0072554E">
              <w:rPr>
                <w:rFonts w:cs="Arial"/>
                <w:szCs w:val="20"/>
              </w:rPr>
              <w:t>$10,512,000</w:t>
            </w:r>
          </w:p>
        </w:tc>
        <w:tc>
          <w:tcPr>
            <w:tcW w:w="2707" w:type="dxa"/>
            <w:vAlign w:val="bottom"/>
          </w:tcPr>
          <w:p w14:paraId="218866F9" w14:textId="6D12EFF8" w:rsidR="0072554E" w:rsidRPr="0072554E" w:rsidRDefault="0072554E" w:rsidP="001217A3">
            <w:pPr>
              <w:jc w:val="right"/>
            </w:pPr>
            <w:r w:rsidRPr="0072554E">
              <w:rPr>
                <w:rFonts w:cs="Arial"/>
                <w:szCs w:val="20"/>
              </w:rPr>
              <w:t>$637,023,000</w:t>
            </w:r>
          </w:p>
        </w:tc>
        <w:tc>
          <w:tcPr>
            <w:tcW w:w="2707" w:type="dxa"/>
            <w:vAlign w:val="bottom"/>
          </w:tcPr>
          <w:p w14:paraId="7D8279F8" w14:textId="5E87B6A6" w:rsidR="0072554E" w:rsidRPr="0072554E" w:rsidRDefault="0072554E" w:rsidP="001217A3">
            <w:pPr>
              <w:jc w:val="right"/>
            </w:pPr>
            <w:r w:rsidRPr="0072554E">
              <w:rPr>
                <w:rFonts w:cs="Arial"/>
                <w:szCs w:val="20"/>
              </w:rPr>
              <w:t>$340,514,000</w:t>
            </w:r>
          </w:p>
        </w:tc>
      </w:tr>
      <w:tr w:rsidR="0072554E" w:rsidRPr="009B2120" w14:paraId="1B14B61F" w14:textId="118E0C44" w:rsidTr="0072554E">
        <w:trPr>
          <w:cnfStyle w:val="000000010000" w:firstRow="0" w:lastRow="0" w:firstColumn="0" w:lastColumn="0" w:oddVBand="0" w:evenVBand="0" w:oddHBand="0" w:evenHBand="1" w:firstRowFirstColumn="0" w:firstRowLastColumn="0" w:lastRowFirstColumn="0" w:lastRowLastColumn="0"/>
          <w:jc w:val="center"/>
        </w:trPr>
        <w:tc>
          <w:tcPr>
            <w:tcW w:w="1915" w:type="dxa"/>
            <w:vAlign w:val="top"/>
          </w:tcPr>
          <w:p w14:paraId="09E07340" w14:textId="5451B974" w:rsidR="0072554E" w:rsidRPr="007E3CB5" w:rsidRDefault="0072554E" w:rsidP="009853DD">
            <w:r w:rsidRPr="00347C42">
              <w:t>Comanche</w:t>
            </w:r>
          </w:p>
        </w:tc>
        <w:tc>
          <w:tcPr>
            <w:tcW w:w="2160" w:type="dxa"/>
            <w:vAlign w:val="bottom"/>
          </w:tcPr>
          <w:p w14:paraId="02B215B3" w14:textId="490C0A0C" w:rsidR="0072554E" w:rsidRPr="0072554E" w:rsidRDefault="0072554E" w:rsidP="001217A3">
            <w:pPr>
              <w:jc w:val="right"/>
            </w:pPr>
            <w:r w:rsidRPr="0072554E">
              <w:rPr>
                <w:rFonts w:cs="Arial"/>
                <w:szCs w:val="20"/>
              </w:rPr>
              <w:t>$5,000</w:t>
            </w:r>
          </w:p>
        </w:tc>
        <w:tc>
          <w:tcPr>
            <w:tcW w:w="2707" w:type="dxa"/>
            <w:vAlign w:val="bottom"/>
          </w:tcPr>
          <w:p w14:paraId="04F73764" w14:textId="511FAFD8" w:rsidR="0072554E" w:rsidRPr="0072554E" w:rsidRDefault="0072554E" w:rsidP="001217A3">
            <w:pPr>
              <w:jc w:val="right"/>
            </w:pPr>
            <w:r w:rsidRPr="0072554E">
              <w:rPr>
                <w:rFonts w:cs="Arial"/>
                <w:szCs w:val="20"/>
              </w:rPr>
              <w:t>$663,000</w:t>
            </w:r>
          </w:p>
        </w:tc>
        <w:tc>
          <w:tcPr>
            <w:tcW w:w="2707" w:type="dxa"/>
            <w:vAlign w:val="bottom"/>
          </w:tcPr>
          <w:p w14:paraId="11795935" w14:textId="584B22F9" w:rsidR="0072554E" w:rsidRPr="0072554E" w:rsidRDefault="0072554E" w:rsidP="001217A3">
            <w:pPr>
              <w:jc w:val="right"/>
            </w:pPr>
            <w:r w:rsidRPr="0072554E">
              <w:rPr>
                <w:rFonts w:cs="Arial"/>
                <w:szCs w:val="20"/>
              </w:rPr>
              <w:t>$332,000</w:t>
            </w:r>
          </w:p>
        </w:tc>
      </w:tr>
      <w:tr w:rsidR="0072554E" w:rsidRPr="009B2120" w14:paraId="1296C93F" w14:textId="77777777" w:rsidTr="0072554E">
        <w:trPr>
          <w:cnfStyle w:val="000000100000" w:firstRow="0" w:lastRow="0" w:firstColumn="0" w:lastColumn="0" w:oddVBand="0" w:evenVBand="0" w:oddHBand="1" w:evenHBand="0" w:firstRowFirstColumn="0" w:firstRowLastColumn="0" w:lastRowFirstColumn="0" w:lastRowLastColumn="0"/>
          <w:jc w:val="center"/>
        </w:trPr>
        <w:tc>
          <w:tcPr>
            <w:tcW w:w="1915" w:type="dxa"/>
            <w:vAlign w:val="top"/>
          </w:tcPr>
          <w:p w14:paraId="481081C5" w14:textId="6DB642A1" w:rsidR="0072554E" w:rsidRDefault="0072554E" w:rsidP="009853DD">
            <w:r w:rsidRPr="00347C42">
              <w:t>Coryell</w:t>
            </w:r>
          </w:p>
        </w:tc>
        <w:tc>
          <w:tcPr>
            <w:tcW w:w="2160" w:type="dxa"/>
            <w:vAlign w:val="bottom"/>
          </w:tcPr>
          <w:p w14:paraId="3C4F422D" w14:textId="1993930A" w:rsidR="0072554E" w:rsidRPr="0072554E" w:rsidRDefault="0072554E" w:rsidP="001217A3">
            <w:pPr>
              <w:jc w:val="right"/>
            </w:pPr>
            <w:r w:rsidRPr="0072554E">
              <w:rPr>
                <w:rFonts w:cs="Arial"/>
                <w:szCs w:val="20"/>
              </w:rPr>
              <w:t>$153,493,000</w:t>
            </w:r>
          </w:p>
        </w:tc>
        <w:tc>
          <w:tcPr>
            <w:tcW w:w="2707" w:type="dxa"/>
            <w:vAlign w:val="bottom"/>
          </w:tcPr>
          <w:p w14:paraId="47AA897F" w14:textId="432213F6" w:rsidR="0072554E" w:rsidRPr="0072554E" w:rsidRDefault="0072554E" w:rsidP="001217A3">
            <w:pPr>
              <w:jc w:val="right"/>
            </w:pPr>
            <w:r w:rsidRPr="0072554E">
              <w:rPr>
                <w:rFonts w:cs="Arial"/>
                <w:szCs w:val="20"/>
              </w:rPr>
              <w:t>$2,900,193,000</w:t>
            </w:r>
          </w:p>
        </w:tc>
        <w:tc>
          <w:tcPr>
            <w:tcW w:w="2707" w:type="dxa"/>
            <w:vAlign w:val="bottom"/>
          </w:tcPr>
          <w:p w14:paraId="74699C1C" w14:textId="67303345" w:rsidR="0072554E" w:rsidRPr="0072554E" w:rsidRDefault="0072554E" w:rsidP="001217A3">
            <w:pPr>
              <w:jc w:val="right"/>
            </w:pPr>
            <w:r w:rsidRPr="0072554E">
              <w:rPr>
                <w:rFonts w:cs="Arial"/>
                <w:szCs w:val="20"/>
              </w:rPr>
              <w:t>$1,649,735,000</w:t>
            </w:r>
          </w:p>
        </w:tc>
      </w:tr>
      <w:tr w:rsidR="0072554E" w:rsidRPr="009B2120" w14:paraId="0B91532E" w14:textId="77777777" w:rsidTr="0072554E">
        <w:trPr>
          <w:cnfStyle w:val="000000010000" w:firstRow="0" w:lastRow="0" w:firstColumn="0" w:lastColumn="0" w:oddVBand="0" w:evenVBand="0" w:oddHBand="0" w:evenHBand="1" w:firstRowFirstColumn="0" w:firstRowLastColumn="0" w:lastRowFirstColumn="0" w:lastRowLastColumn="0"/>
          <w:jc w:val="center"/>
        </w:trPr>
        <w:tc>
          <w:tcPr>
            <w:tcW w:w="1915" w:type="dxa"/>
            <w:vAlign w:val="top"/>
          </w:tcPr>
          <w:p w14:paraId="0AE5AD2B" w14:textId="2B309D77" w:rsidR="0072554E" w:rsidRPr="00C879E4" w:rsidRDefault="0072554E" w:rsidP="009853DD">
            <w:pPr>
              <w:rPr>
                <w:b/>
              </w:rPr>
            </w:pPr>
            <w:r w:rsidRPr="00347C42">
              <w:t>Hamilton</w:t>
            </w:r>
          </w:p>
        </w:tc>
        <w:tc>
          <w:tcPr>
            <w:tcW w:w="2160" w:type="dxa"/>
            <w:vAlign w:val="bottom"/>
          </w:tcPr>
          <w:p w14:paraId="2830F5A2" w14:textId="0E93AA6B" w:rsidR="0072554E" w:rsidRPr="0072554E" w:rsidRDefault="0072554E" w:rsidP="001217A3">
            <w:pPr>
              <w:jc w:val="right"/>
            </w:pPr>
            <w:r w:rsidRPr="0072554E">
              <w:rPr>
                <w:rFonts w:cs="Arial"/>
                <w:szCs w:val="20"/>
              </w:rPr>
              <w:t>$8,813,000</w:t>
            </w:r>
          </w:p>
        </w:tc>
        <w:tc>
          <w:tcPr>
            <w:tcW w:w="2707" w:type="dxa"/>
            <w:vAlign w:val="bottom"/>
          </w:tcPr>
          <w:p w14:paraId="794C055D" w14:textId="04C26F8F" w:rsidR="0072554E" w:rsidRPr="0072554E" w:rsidRDefault="0072554E" w:rsidP="001217A3">
            <w:pPr>
              <w:jc w:val="right"/>
            </w:pPr>
            <w:r w:rsidRPr="0072554E">
              <w:rPr>
                <w:rFonts w:cs="Arial"/>
                <w:szCs w:val="20"/>
              </w:rPr>
              <w:t>$146,641,000</w:t>
            </w:r>
          </w:p>
        </w:tc>
        <w:tc>
          <w:tcPr>
            <w:tcW w:w="2707" w:type="dxa"/>
            <w:vAlign w:val="bottom"/>
          </w:tcPr>
          <w:p w14:paraId="7476C5DB" w14:textId="229D78E8" w:rsidR="0072554E" w:rsidRPr="0072554E" w:rsidRDefault="0072554E" w:rsidP="001217A3">
            <w:pPr>
              <w:jc w:val="right"/>
            </w:pPr>
            <w:r w:rsidRPr="0072554E">
              <w:rPr>
                <w:rFonts w:cs="Arial"/>
                <w:szCs w:val="20"/>
              </w:rPr>
              <w:t>$95,330,000</w:t>
            </w:r>
          </w:p>
        </w:tc>
      </w:tr>
      <w:tr w:rsidR="0072554E" w:rsidRPr="009B2120" w14:paraId="72CD6221" w14:textId="77777777" w:rsidTr="0072554E">
        <w:trPr>
          <w:cnfStyle w:val="000000100000" w:firstRow="0" w:lastRow="0" w:firstColumn="0" w:lastColumn="0" w:oddVBand="0" w:evenVBand="0" w:oddHBand="1" w:evenHBand="0" w:firstRowFirstColumn="0" w:firstRowLastColumn="0" w:lastRowFirstColumn="0" w:lastRowLastColumn="0"/>
          <w:jc w:val="center"/>
        </w:trPr>
        <w:tc>
          <w:tcPr>
            <w:tcW w:w="1915" w:type="dxa"/>
            <w:vAlign w:val="top"/>
          </w:tcPr>
          <w:p w14:paraId="57726598" w14:textId="0481E689" w:rsidR="0072554E" w:rsidRPr="00C879E4" w:rsidRDefault="0072554E" w:rsidP="009853DD">
            <w:pPr>
              <w:rPr>
                <w:b/>
              </w:rPr>
            </w:pPr>
            <w:r w:rsidRPr="00347C42">
              <w:t>Lampasas</w:t>
            </w:r>
          </w:p>
        </w:tc>
        <w:tc>
          <w:tcPr>
            <w:tcW w:w="2160" w:type="dxa"/>
            <w:vAlign w:val="bottom"/>
          </w:tcPr>
          <w:p w14:paraId="5AB04DB6" w14:textId="02862687" w:rsidR="0072554E" w:rsidRPr="0072554E" w:rsidRDefault="0072554E" w:rsidP="001217A3">
            <w:pPr>
              <w:jc w:val="right"/>
            </w:pPr>
            <w:r w:rsidRPr="0072554E">
              <w:rPr>
                <w:rFonts w:cs="Arial"/>
                <w:szCs w:val="20"/>
              </w:rPr>
              <w:t>$196,000</w:t>
            </w:r>
          </w:p>
        </w:tc>
        <w:tc>
          <w:tcPr>
            <w:tcW w:w="2707" w:type="dxa"/>
            <w:vAlign w:val="bottom"/>
          </w:tcPr>
          <w:p w14:paraId="38A2229F" w14:textId="367CE6A2" w:rsidR="0072554E" w:rsidRPr="0072554E" w:rsidRDefault="0072554E" w:rsidP="001217A3">
            <w:pPr>
              <w:jc w:val="right"/>
            </w:pPr>
            <w:r w:rsidRPr="0072554E">
              <w:rPr>
                <w:rFonts w:cs="Arial"/>
                <w:szCs w:val="20"/>
              </w:rPr>
              <w:t>$14,336,000</w:t>
            </w:r>
          </w:p>
        </w:tc>
        <w:tc>
          <w:tcPr>
            <w:tcW w:w="2707" w:type="dxa"/>
            <w:vAlign w:val="bottom"/>
          </w:tcPr>
          <w:p w14:paraId="3F170FFE" w14:textId="109EE0DB" w:rsidR="0072554E" w:rsidRPr="0072554E" w:rsidRDefault="0072554E" w:rsidP="001217A3">
            <w:pPr>
              <w:jc w:val="right"/>
            </w:pPr>
            <w:r w:rsidRPr="0072554E">
              <w:rPr>
                <w:rFonts w:cs="Arial"/>
                <w:szCs w:val="20"/>
              </w:rPr>
              <w:t>$8,034,000</w:t>
            </w:r>
          </w:p>
        </w:tc>
      </w:tr>
      <w:tr w:rsidR="0072554E" w:rsidRPr="009B2120" w14:paraId="55B7D099" w14:textId="77777777" w:rsidTr="0072554E">
        <w:trPr>
          <w:cnfStyle w:val="000000010000" w:firstRow="0" w:lastRow="0" w:firstColumn="0" w:lastColumn="0" w:oddVBand="0" w:evenVBand="0" w:oddHBand="0" w:evenHBand="1" w:firstRowFirstColumn="0" w:firstRowLastColumn="0" w:lastRowFirstColumn="0" w:lastRowLastColumn="0"/>
          <w:jc w:val="center"/>
        </w:trPr>
        <w:tc>
          <w:tcPr>
            <w:tcW w:w="1915" w:type="dxa"/>
            <w:vAlign w:val="top"/>
          </w:tcPr>
          <w:p w14:paraId="256676BE" w14:textId="358EA972" w:rsidR="0072554E" w:rsidRDefault="0072554E" w:rsidP="009853DD">
            <w:pPr>
              <w:rPr>
                <w:b/>
              </w:rPr>
            </w:pPr>
            <w:r w:rsidRPr="00347C42">
              <w:t>Mills</w:t>
            </w:r>
          </w:p>
        </w:tc>
        <w:tc>
          <w:tcPr>
            <w:tcW w:w="2160" w:type="dxa"/>
            <w:vAlign w:val="bottom"/>
          </w:tcPr>
          <w:p w14:paraId="66E6283E" w14:textId="38502F74" w:rsidR="0072554E" w:rsidRPr="0072554E" w:rsidRDefault="0072554E" w:rsidP="001217A3">
            <w:pPr>
              <w:jc w:val="right"/>
            </w:pPr>
            <w:r w:rsidRPr="0072554E">
              <w:rPr>
                <w:rFonts w:cs="Arial"/>
                <w:szCs w:val="20"/>
              </w:rPr>
              <w:t>$1,060,000</w:t>
            </w:r>
          </w:p>
        </w:tc>
        <w:tc>
          <w:tcPr>
            <w:tcW w:w="2707" w:type="dxa"/>
            <w:vAlign w:val="bottom"/>
          </w:tcPr>
          <w:p w14:paraId="26A2CED5" w14:textId="6CCB8286" w:rsidR="0072554E" w:rsidRPr="0072554E" w:rsidRDefault="0072554E" w:rsidP="001217A3">
            <w:pPr>
              <w:jc w:val="right"/>
            </w:pPr>
            <w:r w:rsidRPr="0072554E">
              <w:rPr>
                <w:rFonts w:cs="Arial"/>
                <w:szCs w:val="20"/>
              </w:rPr>
              <w:t>$41,302,000</w:t>
            </w:r>
          </w:p>
        </w:tc>
        <w:tc>
          <w:tcPr>
            <w:tcW w:w="2707" w:type="dxa"/>
            <w:vAlign w:val="bottom"/>
          </w:tcPr>
          <w:p w14:paraId="4EE581F7" w14:textId="083E823B" w:rsidR="0072554E" w:rsidRPr="0072554E" w:rsidRDefault="0072554E" w:rsidP="001217A3">
            <w:pPr>
              <w:jc w:val="right"/>
            </w:pPr>
            <w:r w:rsidRPr="0072554E">
              <w:rPr>
                <w:rFonts w:cs="Arial"/>
                <w:szCs w:val="20"/>
              </w:rPr>
              <w:t>$20,938,000</w:t>
            </w:r>
          </w:p>
        </w:tc>
      </w:tr>
      <w:tr w:rsidR="0072554E" w:rsidRPr="009B2120" w14:paraId="2AE6EBDA" w14:textId="77777777" w:rsidTr="0072554E">
        <w:trPr>
          <w:cnfStyle w:val="000000100000" w:firstRow="0" w:lastRow="0" w:firstColumn="0" w:lastColumn="0" w:oddVBand="0" w:evenVBand="0" w:oddHBand="1" w:evenHBand="0" w:firstRowFirstColumn="0" w:firstRowLastColumn="0" w:lastRowFirstColumn="0" w:lastRowLastColumn="0"/>
          <w:jc w:val="center"/>
        </w:trPr>
        <w:tc>
          <w:tcPr>
            <w:tcW w:w="1915" w:type="dxa"/>
          </w:tcPr>
          <w:p w14:paraId="12A247DD" w14:textId="358924E4" w:rsidR="0072554E" w:rsidRPr="00C879E4" w:rsidRDefault="0072554E" w:rsidP="009853DD">
            <w:pPr>
              <w:rPr>
                <w:b/>
              </w:rPr>
            </w:pPr>
            <w:r>
              <w:rPr>
                <w:b/>
              </w:rPr>
              <w:t>Total</w:t>
            </w:r>
          </w:p>
        </w:tc>
        <w:tc>
          <w:tcPr>
            <w:tcW w:w="2160" w:type="dxa"/>
            <w:vAlign w:val="bottom"/>
          </w:tcPr>
          <w:p w14:paraId="76ABB1AA" w14:textId="427B8595" w:rsidR="0072554E" w:rsidRPr="0072554E" w:rsidRDefault="0072554E" w:rsidP="001217A3">
            <w:pPr>
              <w:jc w:val="right"/>
              <w:rPr>
                <w:b/>
                <w:bCs/>
              </w:rPr>
            </w:pPr>
            <w:r w:rsidRPr="0072554E">
              <w:rPr>
                <w:rFonts w:cs="Arial"/>
                <w:b/>
                <w:bCs/>
                <w:szCs w:val="20"/>
              </w:rPr>
              <w:t>$174,079,000</w:t>
            </w:r>
          </w:p>
        </w:tc>
        <w:tc>
          <w:tcPr>
            <w:tcW w:w="2707" w:type="dxa"/>
            <w:vAlign w:val="bottom"/>
          </w:tcPr>
          <w:p w14:paraId="33CBB26E" w14:textId="4F3E1CFB" w:rsidR="0072554E" w:rsidRPr="0072554E" w:rsidRDefault="0072554E" w:rsidP="001217A3">
            <w:pPr>
              <w:jc w:val="right"/>
              <w:rPr>
                <w:b/>
                <w:bCs/>
              </w:rPr>
            </w:pPr>
            <w:r w:rsidRPr="0072554E">
              <w:rPr>
                <w:rFonts w:cs="Arial"/>
                <w:b/>
                <w:bCs/>
                <w:szCs w:val="20"/>
              </w:rPr>
              <w:t>$3,740,158,000</w:t>
            </w:r>
          </w:p>
        </w:tc>
        <w:tc>
          <w:tcPr>
            <w:tcW w:w="2707" w:type="dxa"/>
            <w:vAlign w:val="bottom"/>
          </w:tcPr>
          <w:p w14:paraId="2889008D" w14:textId="70910DF2" w:rsidR="0072554E" w:rsidRPr="0072554E" w:rsidRDefault="0072554E" w:rsidP="001217A3">
            <w:pPr>
              <w:jc w:val="right"/>
              <w:rPr>
                <w:b/>
                <w:bCs/>
              </w:rPr>
            </w:pPr>
            <w:r w:rsidRPr="0072554E">
              <w:rPr>
                <w:rFonts w:cs="Arial"/>
                <w:b/>
                <w:bCs/>
                <w:szCs w:val="20"/>
              </w:rPr>
              <w:t>$2,114,883,000</w:t>
            </w:r>
          </w:p>
        </w:tc>
      </w:tr>
    </w:tbl>
    <w:p w14:paraId="298D2BAA" w14:textId="3D2E9323" w:rsidR="00D507CB" w:rsidRDefault="00D507CB" w:rsidP="00CA2219">
      <w:pPr>
        <w:tabs>
          <w:tab w:val="clear" w:pos="284"/>
        </w:tabs>
        <w:spacing w:line="240" w:lineRule="auto"/>
      </w:pPr>
    </w:p>
    <w:p w14:paraId="3ECF8819" w14:textId="3233DB34" w:rsidR="00D507CB" w:rsidRDefault="00D507CB">
      <w:pPr>
        <w:tabs>
          <w:tab w:val="clear" w:pos="284"/>
        </w:tabs>
        <w:spacing w:line="240" w:lineRule="auto"/>
      </w:pPr>
      <w:r>
        <w:br w:type="page"/>
      </w:r>
    </w:p>
    <w:p w14:paraId="218C6EE7" w14:textId="77777777" w:rsidR="00976A14" w:rsidRDefault="00976A14" w:rsidP="00CA2219">
      <w:pPr>
        <w:pStyle w:val="Heading1"/>
        <w:numPr>
          <w:ilvl w:val="0"/>
          <w:numId w:val="21"/>
        </w:numPr>
      </w:pPr>
      <w:bookmarkStart w:id="319" w:name="_Toc112244153"/>
      <w:r>
        <w:lastRenderedPageBreak/>
        <w:t>References</w:t>
      </w:r>
      <w:bookmarkEnd w:id="319"/>
    </w:p>
    <w:p w14:paraId="1D39E452" w14:textId="18AF2466" w:rsidR="00C24C73" w:rsidRPr="002C38E3" w:rsidRDefault="00C24C73" w:rsidP="00C24C73">
      <w:pPr>
        <w:pStyle w:val="BodyText"/>
      </w:pPr>
      <w:r>
        <w:t xml:space="preserve">FEMA, </w:t>
      </w:r>
      <w:r w:rsidR="002C38E3">
        <w:rPr>
          <w:i/>
        </w:rPr>
        <w:t xml:space="preserve">Coryell County </w:t>
      </w:r>
      <w:r w:rsidR="002C38E3">
        <w:t>Flood Insurance Study, Texas, February 2010</w:t>
      </w:r>
    </w:p>
    <w:p w14:paraId="23876AE9" w14:textId="77777777" w:rsidR="00A315D3" w:rsidRDefault="00A315D3" w:rsidP="00A315D3">
      <w:pPr>
        <w:pStyle w:val="BodyText"/>
      </w:pPr>
      <w:r>
        <w:t xml:space="preserve">Homer, C.G., Dewitz, J.A., Yang, L., Jin, S., Danielson, P., Xian, G., Coulston, J., Herold, N.D., Wickham, J.D., and Megown, K., 2015, </w:t>
      </w:r>
      <w:r w:rsidRPr="001E2388">
        <w:rPr>
          <w:i/>
        </w:rPr>
        <w:t xml:space="preserve">Completion of the </w:t>
      </w:r>
      <w:r w:rsidR="002C1F82" w:rsidRPr="001E2388">
        <w:rPr>
          <w:i/>
        </w:rPr>
        <w:t xml:space="preserve">2016 </w:t>
      </w:r>
      <w:r w:rsidRPr="001E2388">
        <w:rPr>
          <w:i/>
        </w:rPr>
        <w:t>National Land Cover Database for the conterminous United States-Representing a decade of land cover change information. Photogrammetric Engineering and Remote Sensing</w:t>
      </w:r>
      <w:r>
        <w:t>, v. 81, no. 5, p. 345-354</w:t>
      </w:r>
    </w:p>
    <w:p w14:paraId="1D1D4211" w14:textId="514B6AF8" w:rsidR="00A315D3" w:rsidRDefault="00A315D3" w:rsidP="00A315D3">
      <w:pPr>
        <w:pStyle w:val="BodyText"/>
      </w:pPr>
      <w:r>
        <w:t xml:space="preserve">National Oceanic and Atmospheric Administration. NOAA </w:t>
      </w:r>
      <w:r w:rsidR="007753C4">
        <w:t xml:space="preserve"> </w:t>
      </w:r>
      <w:r>
        <w:t xml:space="preserve">Atlas 14, Volume </w:t>
      </w:r>
      <w:r w:rsidR="001E2388">
        <w:t>11 Version 2.0 Texas</w:t>
      </w:r>
      <w:r>
        <w:t xml:space="preserve">, </w:t>
      </w:r>
      <w:r w:rsidRPr="001E2388">
        <w:rPr>
          <w:i/>
        </w:rPr>
        <w:t>Precipitation-Frequency Atlas of the United States</w:t>
      </w:r>
      <w:r>
        <w:t>.  Silver Spring, Maryland, 201</w:t>
      </w:r>
      <w:r w:rsidR="001E2388">
        <w:t>8</w:t>
      </w:r>
      <w:r>
        <w:t xml:space="preserve">. </w:t>
      </w:r>
    </w:p>
    <w:p w14:paraId="067C3C5A" w14:textId="77777777" w:rsidR="00A315D3" w:rsidRDefault="00A315D3" w:rsidP="00A315D3">
      <w:pPr>
        <w:pStyle w:val="BodyText"/>
      </w:pPr>
      <w:r>
        <w:t xml:space="preserve">Painter, C.C., Heimann, D.C., and Lanning-Rush, J.L., 2017, </w:t>
      </w:r>
      <w:r w:rsidRPr="001E2388">
        <w:rPr>
          <w:i/>
        </w:rPr>
        <w:t>Methods for estimating annual exceedance-probability streamflows for streams in Kansas based on data through water year 2015 (ver. 1.1, September 2017):</w:t>
      </w:r>
      <w:r>
        <w:t xml:space="preserve"> U.S. Geological Survey Scientific Investigations Report 2017–5063, 20 p., https://doi.org/10.3133/sir20175063.</w:t>
      </w:r>
    </w:p>
    <w:p w14:paraId="705C4935" w14:textId="57358FA0" w:rsidR="001F7984" w:rsidRDefault="001F7984" w:rsidP="00A315D3">
      <w:pPr>
        <w:pStyle w:val="BodyText"/>
      </w:pPr>
      <w:r>
        <w:t xml:space="preserve">USACE, </w:t>
      </w:r>
      <w:r w:rsidRPr="001E2388">
        <w:rPr>
          <w:i/>
        </w:rPr>
        <w:t>HEC-RAS 2D Modeling User’s Manual</w:t>
      </w:r>
      <w:r>
        <w:t xml:space="preserve">, </w:t>
      </w:r>
      <w:r w:rsidR="00232CA6">
        <w:t>Septemeber</w:t>
      </w:r>
      <w:r w:rsidR="00C53EC9">
        <w:t xml:space="preserve"> 21,</w:t>
      </w:r>
      <w:r w:rsidR="00232CA6">
        <w:t xml:space="preserve"> 2021</w:t>
      </w:r>
    </w:p>
    <w:p w14:paraId="4C8B6364" w14:textId="3CD3D307" w:rsidR="004C6A8F" w:rsidRDefault="004C6A8F" w:rsidP="00A315D3">
      <w:pPr>
        <w:pStyle w:val="BodyText"/>
      </w:pPr>
      <w:r>
        <w:t xml:space="preserve">USACE, </w:t>
      </w:r>
      <w:r w:rsidRPr="001E2388">
        <w:rPr>
          <w:i/>
        </w:rPr>
        <w:t>HEC-RAS Hydraulic Reference Manual</w:t>
      </w:r>
      <w:r>
        <w:t xml:space="preserve">, </w:t>
      </w:r>
      <w:r w:rsidR="00232CA6">
        <w:t xml:space="preserve">September </w:t>
      </w:r>
      <w:r w:rsidR="00C53EC9">
        <w:t xml:space="preserve">21, </w:t>
      </w:r>
      <w:r w:rsidR="00232CA6">
        <w:t>2021</w:t>
      </w:r>
    </w:p>
    <w:p w14:paraId="672408AF" w14:textId="77777777" w:rsidR="00A315D3" w:rsidRDefault="00A315D3" w:rsidP="00A315D3">
      <w:pPr>
        <w:pStyle w:val="BodyText"/>
      </w:pPr>
      <w:r>
        <w:t xml:space="preserve">United States Department of Agriculture, </w:t>
      </w:r>
      <w:r w:rsidRPr="001E2388">
        <w:rPr>
          <w:i/>
        </w:rPr>
        <w:t>Chapter 5 of the NRCS National Engineering Handbook Part 630. Amended</w:t>
      </w:r>
      <w:r>
        <w:t xml:space="preserve"> May 2012.</w:t>
      </w:r>
    </w:p>
    <w:p w14:paraId="59D0CC7E" w14:textId="0C77C283" w:rsidR="00444B36" w:rsidRDefault="00444B36" w:rsidP="00A315D3">
      <w:pPr>
        <w:pStyle w:val="BodyText"/>
      </w:pPr>
      <w:r>
        <w:t xml:space="preserve">USDA, NRCS, </w:t>
      </w:r>
      <w:r w:rsidRPr="001E2388">
        <w:rPr>
          <w:i/>
        </w:rPr>
        <w:t>Manning’s n Values for Various Land Covers To Use for Dam Breach Analysis in Kansas</w:t>
      </w:r>
      <w:r>
        <w:t>, 2016</w:t>
      </w:r>
    </w:p>
    <w:p w14:paraId="53051B29" w14:textId="77777777" w:rsidR="00054055" w:rsidRDefault="00054055" w:rsidP="00A315D3">
      <w:pPr>
        <w:pStyle w:val="BodyText"/>
      </w:pPr>
      <w:r>
        <w:t xml:space="preserve">USDA, NRCS, </w:t>
      </w:r>
      <w:r>
        <w:rPr>
          <w:i/>
        </w:rPr>
        <w:t>NOAA Atlas 14 rainfall for Midwest and Southeast states,</w:t>
      </w:r>
      <w:r w:rsidR="000D04AB">
        <w:t xml:space="preserve"> 2015.</w:t>
      </w:r>
    </w:p>
    <w:p w14:paraId="0A51A789" w14:textId="24EADEB2" w:rsidR="00444B36" w:rsidRDefault="00444B36" w:rsidP="00A315D3">
      <w:pPr>
        <w:pStyle w:val="BodyText"/>
      </w:pPr>
      <w:r>
        <w:t>USDA, NRCS, Part 630 National Engineering Handbook, Chapter 5 Streamflow Data, March 2020</w:t>
      </w:r>
    </w:p>
    <w:p w14:paraId="4E50260F" w14:textId="1914161B" w:rsidR="007E3CB5" w:rsidRDefault="00C4204D" w:rsidP="00A315D3">
      <w:pPr>
        <w:pStyle w:val="BodyText"/>
      </w:pPr>
      <w:r>
        <w:t xml:space="preserve">USGS Scientific Investigations Report 2009-5087, </w:t>
      </w:r>
      <w:r w:rsidRPr="001E2388">
        <w:rPr>
          <w:i/>
        </w:rPr>
        <w:t>Regression Equations for Estimation of Annual Peak-Streamflow Frequency for Undeveloped Watersheds in Texas Using an L-moment Based, PRESS-Minimized, Residual-Adjusted Approach</w:t>
      </w:r>
      <w:r>
        <w:t>, June 2009</w:t>
      </w:r>
    </w:p>
    <w:p w14:paraId="32A0C740" w14:textId="77777777" w:rsidR="007E3CB5" w:rsidRDefault="007E3CB5">
      <w:pPr>
        <w:tabs>
          <w:tab w:val="clear" w:pos="284"/>
        </w:tabs>
        <w:spacing w:line="240" w:lineRule="auto"/>
      </w:pPr>
      <w:r>
        <w:br w:type="page"/>
      </w:r>
    </w:p>
    <w:p w14:paraId="189809CF" w14:textId="53D62124" w:rsidR="00FE74FB" w:rsidRPr="00FE74FB" w:rsidRDefault="00FE74FB" w:rsidP="00C1594D">
      <w:pPr>
        <w:pStyle w:val="Heading1"/>
        <w:jc w:val="center"/>
      </w:pPr>
      <w:bookmarkStart w:id="320" w:name="_Ref489969912"/>
      <w:bookmarkStart w:id="321" w:name="_Toc52367097"/>
      <w:bookmarkStart w:id="322" w:name="_Toc112244154"/>
      <w:r w:rsidRPr="00C23D36">
        <w:lastRenderedPageBreak/>
        <w:t>Appendix A BLE Map</w:t>
      </w:r>
      <w:bookmarkEnd w:id="320"/>
      <w:bookmarkEnd w:id="321"/>
      <w:bookmarkEnd w:id="322"/>
    </w:p>
    <w:p w14:paraId="05EFDA53" w14:textId="5D08B9FD" w:rsidR="00054055" w:rsidRPr="00054055" w:rsidRDefault="007E3CB5" w:rsidP="00C23D36">
      <w:pPr>
        <w:pStyle w:val="BodyText"/>
        <w:jc w:val="center"/>
      </w:pPr>
      <w:r>
        <w:rPr>
          <w:noProof/>
        </w:rPr>
        <w:drawing>
          <wp:inline distT="0" distB="0" distL="0" distR="0" wp14:anchorId="32D413A6" wp14:editId="76EB3D11">
            <wp:extent cx="5060835" cy="5060835"/>
            <wp:effectExtent l="19050" t="19050" r="26035" b="260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AppendixA.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060835" cy="5060835"/>
                    </a:xfrm>
                    <a:prstGeom prst="rect">
                      <a:avLst/>
                    </a:prstGeom>
                    <a:ln w="15875">
                      <a:solidFill>
                        <a:schemeClr val="tx1"/>
                      </a:solidFill>
                    </a:ln>
                  </pic:spPr>
                </pic:pic>
              </a:graphicData>
            </a:graphic>
          </wp:inline>
        </w:drawing>
      </w:r>
    </w:p>
    <w:p w14:paraId="5D97613E" w14:textId="77777777" w:rsidR="0048315A" w:rsidRPr="0048315A" w:rsidRDefault="0048315A" w:rsidP="00A315D3">
      <w:pPr>
        <w:pStyle w:val="BodyText"/>
      </w:pPr>
    </w:p>
    <w:bookmarkEnd w:id="19"/>
    <w:p w14:paraId="137A5F1E" w14:textId="77777777" w:rsidR="0080324C" w:rsidRDefault="0080324C">
      <w:pPr>
        <w:tabs>
          <w:tab w:val="clear" w:pos="284"/>
        </w:tabs>
        <w:spacing w:line="240" w:lineRule="auto"/>
      </w:pPr>
      <w:r>
        <w:br w:type="page"/>
      </w:r>
      <w:bookmarkStart w:id="323" w:name="EOD"/>
      <w:bookmarkEnd w:id="323"/>
    </w:p>
    <w:p w14:paraId="589FC256" w14:textId="77777777" w:rsidR="00460F70" w:rsidRDefault="00460F70" w:rsidP="005137B7"/>
    <w:tbl>
      <w:tblPr>
        <w:tblStyle w:val="TableGrid"/>
        <w:tblpPr w:leftFromText="181" w:rightFromText="181" w:tblpYSpec="bottom"/>
        <w:tblOverlap w:val="never"/>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600" w:firstRow="0" w:lastRow="0" w:firstColumn="0" w:lastColumn="0" w:noHBand="1" w:noVBand="1"/>
      </w:tblPr>
      <w:tblGrid>
        <w:gridCol w:w="6144"/>
        <w:gridCol w:w="3216"/>
      </w:tblGrid>
      <w:tr w:rsidR="004E1B08" w:rsidRPr="004E1B08" w14:paraId="7EAF9957" w14:textId="77777777" w:rsidTr="00DE18EB">
        <w:trPr>
          <w:trHeight w:val="4500"/>
        </w:trPr>
        <w:tc>
          <w:tcPr>
            <w:tcW w:w="5925" w:type="dxa"/>
            <w:shd w:val="clear" w:color="auto" w:fill="auto"/>
            <w:vAlign w:val="bottom"/>
          </w:tcPr>
          <w:p w14:paraId="03EF3F2D" w14:textId="77777777" w:rsidR="00DE18EB" w:rsidRPr="0030437A" w:rsidRDefault="0030437A" w:rsidP="00CC56EE">
            <w:pPr>
              <w:pStyle w:val="Coverfooter"/>
              <w:rPr>
                <w:color w:val="FFFFFF"/>
              </w:rPr>
            </w:pPr>
            <w:bookmarkStart w:id="324" w:name="Contact"/>
            <w:bookmarkStart w:id="325" w:name="BackCoverText" w:colFirst="0" w:colLast="0"/>
            <w:r w:rsidRPr="0030437A">
              <w:rPr>
                <w:color w:val="FFFFFF"/>
              </w:rPr>
              <w:t xml:space="preserve"> </w:t>
            </w:r>
            <w:bookmarkEnd w:id="324"/>
          </w:p>
          <w:p w14:paraId="0C576456" w14:textId="77777777" w:rsidR="00DE18EB" w:rsidRPr="0030437A" w:rsidRDefault="00DE18EB" w:rsidP="00CC56EE">
            <w:pPr>
              <w:pStyle w:val="Coverfooter"/>
              <w:rPr>
                <w:color w:val="FFFFFF"/>
              </w:rPr>
            </w:pPr>
          </w:p>
          <w:p w14:paraId="0FB0F98F" w14:textId="77777777" w:rsidR="00493CF1" w:rsidRPr="0030437A" w:rsidRDefault="0030437A" w:rsidP="00CC56EE">
            <w:pPr>
              <w:pStyle w:val="Coverfooter"/>
              <w:rPr>
                <w:color w:val="FFFFFF"/>
              </w:rPr>
            </w:pPr>
            <w:bookmarkStart w:id="326" w:name="OfficeAddress"/>
            <w:r w:rsidRPr="0030437A">
              <w:rPr>
                <w:color w:val="FFFFFF"/>
              </w:rPr>
              <w:t xml:space="preserve">aecom.com </w:t>
            </w:r>
            <w:bookmarkEnd w:id="326"/>
            <w:r w:rsidR="00493CF1" w:rsidRPr="0030437A">
              <w:rPr>
                <w:color w:val="FFFFFF"/>
              </w:rPr>
              <w:t xml:space="preserve"> </w:t>
            </w:r>
          </w:p>
          <w:p w14:paraId="13628CEA" w14:textId="77777777" w:rsidR="00493CF1" w:rsidRPr="0030437A" w:rsidRDefault="00493CF1" w:rsidP="00CC56EE">
            <w:pPr>
              <w:pStyle w:val="Coverfooter"/>
              <w:rPr>
                <w:color w:val="FFFFFF"/>
              </w:rPr>
            </w:pPr>
          </w:p>
        </w:tc>
        <w:tc>
          <w:tcPr>
            <w:tcW w:w="3101" w:type="dxa"/>
            <w:shd w:val="clear" w:color="auto" w:fill="auto"/>
            <w:vAlign w:val="bottom"/>
          </w:tcPr>
          <w:p w14:paraId="46C495B2" w14:textId="77777777" w:rsidR="00493CF1" w:rsidRPr="004E1B08" w:rsidRDefault="00493CF1" w:rsidP="00CC56EE">
            <w:pPr>
              <w:pStyle w:val="Coverfooter"/>
            </w:pPr>
          </w:p>
        </w:tc>
      </w:tr>
      <w:bookmarkEnd w:id="325"/>
      <w:tr w:rsidR="004E1B08" w:rsidRPr="004E1B08" w14:paraId="3676F2AB" w14:textId="77777777" w:rsidTr="00DE18EB">
        <w:trPr>
          <w:trHeight w:val="508"/>
        </w:trPr>
        <w:tc>
          <w:tcPr>
            <w:tcW w:w="5925" w:type="dxa"/>
            <w:shd w:val="clear" w:color="auto" w:fill="auto"/>
            <w:vAlign w:val="bottom"/>
          </w:tcPr>
          <w:p w14:paraId="319A89FB" w14:textId="77777777" w:rsidR="00DE18EB" w:rsidRPr="004E1B08" w:rsidRDefault="004E1B08" w:rsidP="00CC56EE">
            <w:pPr>
              <w:pStyle w:val="Coverfooter"/>
            </w:pPr>
            <w:r w:rsidRPr="004E1B08">
              <w:rPr>
                <w:noProof/>
              </w:rPr>
              <mc:AlternateContent>
                <mc:Choice Requires="wps">
                  <w:drawing>
                    <wp:anchor distT="0" distB="0" distL="114300" distR="114300" simplePos="0" relativeHeight="251680768" behindDoc="1" locked="0" layoutInCell="0" allowOverlap="0" wp14:anchorId="3CC6210D" wp14:editId="17EEBEA0">
                      <wp:simplePos x="0" y="0"/>
                      <wp:positionH relativeFrom="page">
                        <wp:align>left</wp:align>
                      </wp:positionH>
                      <wp:positionV relativeFrom="page">
                        <wp:align>top</wp:align>
                      </wp:positionV>
                      <wp:extent cx="6068695" cy="10386060"/>
                      <wp:effectExtent l="0" t="0" r="0" b="0"/>
                      <wp:wrapNone/>
                      <wp:docPr id="12" name="BackCoverBlue"/>
                      <wp:cNvGraphicFramePr/>
                      <a:graphic xmlns:a="http://schemas.openxmlformats.org/drawingml/2006/main">
                        <a:graphicData uri="http://schemas.microsoft.com/office/word/2010/wordprocessingShape">
                          <wps:wsp>
                            <wps:cNvSpPr/>
                            <wps:spPr>
                              <a:xfrm>
                                <a:off x="0" y="0"/>
                                <a:ext cx="6068695" cy="1038606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7941969" w14:textId="77777777" w:rsidR="007B40B2" w:rsidRDefault="007B40B2" w:rsidP="0018537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100000</wp14:pctWidth>
                      </wp14:sizeRelH>
                      <wp14:sizeRelV relativeFrom="page">
                        <wp14:pctHeight>100000</wp14:pctHeight>
                      </wp14:sizeRelV>
                    </wp:anchor>
                  </w:drawing>
                </mc:Choice>
                <mc:Fallback>
                  <w:pict>
                    <v:rect id="BackCoverBlue" o:spid="_x0000_s1030" style="position:absolute;margin-left:0;margin-top:0;width:477.85pt;height:817.8pt;z-index:-251635712;visibility:visible;mso-wrap-style:square;mso-width-percent:1000;mso-height-percent:1000;mso-wrap-distance-left:9pt;mso-wrap-distance-top:0;mso-wrap-distance-right:9pt;mso-wrap-distance-bottom:0;mso-position-horizontal:left;mso-position-horizontal-relative:page;mso-position-vertical:top;mso-position-vertical-relative:page;mso-width-percent:1000;mso-height-percent:100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" o:allowincell="f" o:allowoverlap="f" fillcolor="#00b5e2 [3204]" stroked="f" strokeweight="2pt">
                      <v:textbox>
                        <w:txbxContent>
                          <w:p w14:paraId="07941969" w14:textId="77777777" w:rsidR="007B40B2" w:rsidRDefault="007B40B2" w:rsidP="00185372">
                            <w:pPr>
                              <w:jc w:val="center"/>
                            </w:pPr>
                          </w:p>
                        </w:txbxContent>
                      </v:textbox>
                      <w10:wrap anchorx="page" anchory="page"/>
                    </v:rect>
                  </w:pict>
                </mc:Fallback>
              </mc:AlternateContent>
            </w:r>
          </w:p>
        </w:tc>
        <w:tc>
          <w:tcPr>
            <w:tcW w:w="3101" w:type="dxa"/>
            <w:shd w:val="clear" w:color="auto" w:fill="auto"/>
            <w:vAlign w:val="bottom"/>
          </w:tcPr>
          <w:p w14:paraId="10AC20E7" w14:textId="77777777" w:rsidR="00DE18EB" w:rsidRPr="004E1B08" w:rsidRDefault="00DE18EB" w:rsidP="00CC56EE">
            <w:pPr>
              <w:pStyle w:val="Coverfooter"/>
            </w:pPr>
          </w:p>
        </w:tc>
      </w:tr>
    </w:tbl>
    <w:p w14:paraId="0C485F2B" w14:textId="77777777" w:rsidR="00493CF1" w:rsidRPr="005137B7" w:rsidRDefault="00493CF1" w:rsidP="005137B7"/>
    <w:sectPr w:rsidR="00493CF1" w:rsidRPr="005137B7" w:rsidSect="002A75EF">
      <w:footerReference w:type="default" r:id="rId27"/>
      <w:pgSz w:w="12240" w:h="15840"/>
      <w:pgMar w:top="1134" w:right="1440" w:bottom="851" w:left="1440" w:header="709" w:footer="284" w:gutter="0"/>
      <w:pgNumType w:start="1"/>
      <w:cols w:space="708"/>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2183C022" w15:done="0"/>
  <w15:commentEx w15:paraId="7221B56D" w15:done="0"/>
  <w15:commentEx w15:paraId="06E177F7" w15:done="0"/>
  <w15:commentEx w15:paraId="412E6C23" w15:done="0"/>
  <w15:commentEx w15:paraId="42111627" w15:done="0"/>
  <w15:commentEx w15:paraId="06206B4D" w15:done="0"/>
  <w15:commentEx w15:paraId="374B2C67" w15:done="0"/>
  <w15:commentEx w15:paraId="76719A21" w15:done="0"/>
  <w15:commentEx w15:paraId="4B351C11" w15:done="0"/>
  <w15:commentEx w15:paraId="2D805F80" w15:done="0"/>
  <w15:commentEx w15:paraId="45C661A9" w15:done="0"/>
  <w15:commentEx w15:paraId="4FA328EC"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67D5CBC" w16cex:dateUtc="2022-07-16T20:50:00Z"/>
  <w16cex:commentExtensible w16cex:durableId="267D5E4F" w16cex:dateUtc="2022-07-16T20:5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183C022" w16cid:durableId="267C0B68"/>
  <w16cid:commentId w16cid:paraId="7221B56D" w16cid:durableId="267C0B69"/>
  <w16cid:commentId w16cid:paraId="06E177F7" w16cid:durableId="267C0B6A"/>
  <w16cid:commentId w16cid:paraId="412E6C23" w16cid:durableId="267C0B6B"/>
  <w16cid:commentId w16cid:paraId="42111627" w16cid:durableId="267C0B6C"/>
  <w16cid:commentId w16cid:paraId="06206B4D" w16cid:durableId="267C0B6D"/>
  <w16cid:commentId w16cid:paraId="374B2C67" w16cid:durableId="267D5A44"/>
  <w16cid:commentId w16cid:paraId="76719A21" w16cid:durableId="267C0B70"/>
  <w16cid:commentId w16cid:paraId="4B351C11" w16cid:durableId="267D5A46"/>
  <w16cid:commentId w16cid:paraId="2D805F80" w16cid:durableId="267D5CBC"/>
  <w16cid:commentId w16cid:paraId="45C661A9" w16cid:durableId="267D5E4F"/>
  <w16cid:commentId w16cid:paraId="4FA328EC" w16cid:durableId="267C0B7A"/>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57771A3" w14:textId="77777777" w:rsidR="007B40B2" w:rsidRDefault="007B40B2" w:rsidP="00253171">
      <w:pPr>
        <w:spacing w:line="240" w:lineRule="auto"/>
      </w:pPr>
      <w:r>
        <w:separator/>
      </w:r>
    </w:p>
  </w:endnote>
  <w:endnote w:type="continuationSeparator" w:id="0">
    <w:p w14:paraId="772A9C55" w14:textId="77777777" w:rsidR="007B40B2" w:rsidRDefault="007B40B2" w:rsidP="0025317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SimHei">
    <w:altName w:val="黑体"/>
    <w:panose1 w:val="02010609060101010101"/>
    <w:charset w:val="86"/>
    <w:family w:val="modern"/>
    <w:pitch w:val="fixed"/>
    <w:sig w:usb0="800002BF" w:usb1="38CF7CFA" w:usb2="00000016" w:usb3="00000000" w:csb0="00040001" w:csb1="00000000"/>
  </w:font>
  <w:font w:name="Tahoma">
    <w:panose1 w:val="020B0604030504040204"/>
    <w:charset w:val="00"/>
    <w:family w:val="swiss"/>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00"/>
    <w:family w:val="modern"/>
    <w:pitch w:val="fixed"/>
    <w:sig w:usb0="E10002FF" w:usb1="4000FCFF" w:usb2="00000009"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192EC85" w14:textId="77777777" w:rsidR="007B40B2" w:rsidRDefault="007B40B2"/>
  <w:tbl>
    <w:tblPr>
      <w:tblStyle w:val="Plaingrid"/>
      <w:tblW w:w="5000" w:type="pct"/>
      <w:tblLook w:val="04A0" w:firstRow="1" w:lastRow="0" w:firstColumn="1" w:lastColumn="0" w:noHBand="0" w:noVBand="1"/>
    </w:tblPr>
    <w:tblGrid>
      <w:gridCol w:w="5877"/>
      <w:gridCol w:w="3591"/>
    </w:tblGrid>
    <w:tr w:rsidR="007B40B2" w14:paraId="3D97DF32" w14:textId="77777777" w:rsidTr="000364E3">
      <w:tc>
        <w:tcPr>
          <w:tcW w:w="5670" w:type="dxa"/>
        </w:tcPr>
        <w:p w14:paraId="5C889816" w14:textId="71CBCC8C" w:rsidR="007B40B2" w:rsidRDefault="007B40B2" w:rsidP="00C2143D">
          <w:pPr>
            <w:pStyle w:val="Footer"/>
          </w:pPr>
          <w:r>
            <w:fldChar w:fldCharType="begin"/>
          </w:r>
          <w:r>
            <w:instrText xml:space="preserve"> if </w:instrText>
          </w:r>
          <w:r w:rsidR="007D7CA7">
            <w:fldChar w:fldCharType="begin"/>
          </w:r>
          <w:r w:rsidR="007D7CA7">
            <w:instrText xml:space="preserve"> DOCPROPERTY  ShowFilePath \* MERGEFORMAT </w:instrText>
          </w:r>
          <w:r w:rsidR="007D7CA7">
            <w:fldChar w:fldCharType="separate"/>
          </w:r>
          <w:r w:rsidR="007D7CA7">
            <w:instrText>0</w:instrText>
          </w:r>
          <w:r w:rsidR="007D7CA7">
            <w:fldChar w:fldCharType="end"/>
          </w:r>
          <w:r>
            <w:instrText xml:space="preserve">  = 1  </w:instrText>
          </w:r>
          <w:r w:rsidR="007D7CA7">
            <w:fldChar w:fldCharType="begin"/>
          </w:r>
          <w:r w:rsidR="007D7CA7">
            <w:instrText xml:space="preserve"> FILENAME \p  \* MERGEFORMAT </w:instrText>
          </w:r>
          <w:r w:rsidR="007D7CA7">
            <w:fldChar w:fldCharType="separate"/>
          </w:r>
          <w:r>
            <w:instrText>Document3</w:instrText>
          </w:r>
          <w:r w:rsidR="007D7CA7">
            <w:fldChar w:fldCharType="end"/>
          </w:r>
          <w:r>
            <w:instrText xml:space="preserve">  </w:instrText>
          </w:r>
          <w:r>
            <w:fldChar w:fldCharType="end"/>
          </w:r>
          <w:r>
            <w:fldChar w:fldCharType="begin"/>
          </w:r>
          <w:r>
            <w:instrText xml:space="preserve"> if </w:instrText>
          </w:r>
          <w:r w:rsidR="007D7CA7">
            <w:fldChar w:fldCharType="begin"/>
          </w:r>
          <w:r w:rsidR="007D7CA7">
            <w:instrText xml:space="preserve"> DOCPROPERTY  ShowFileName \* MERGEFORMAT </w:instrText>
          </w:r>
          <w:r w:rsidR="007D7CA7">
            <w:fldChar w:fldCharType="separate"/>
          </w:r>
          <w:r w:rsidR="007D7CA7">
            <w:instrText>0</w:instrText>
          </w:r>
          <w:r w:rsidR="007D7CA7">
            <w:fldChar w:fldCharType="end"/>
          </w:r>
          <w:r>
            <w:instrText xml:space="preserve">  = 1  </w:instrText>
          </w:r>
          <w:r w:rsidR="007D7CA7">
            <w:fldChar w:fldCharType="begin"/>
          </w:r>
          <w:r w:rsidR="007D7CA7">
            <w:instrText xml:space="preserve"> FILENAME   \* MERGEFORMAT </w:instrText>
          </w:r>
          <w:r w:rsidR="007D7CA7">
            <w:fldChar w:fldCharType="separate"/>
          </w:r>
          <w:r>
            <w:instrText>C:\Data\Word97\Template\Aecom\Aecom_Letter.Dotm</w:instrText>
          </w:r>
          <w:r w:rsidR="007D7CA7">
            <w:fldChar w:fldCharType="end"/>
          </w:r>
          <w:r>
            <w:instrText xml:space="preserve">  </w:instrText>
          </w:r>
          <w:r>
            <w:fldChar w:fldCharType="end"/>
          </w:r>
        </w:p>
      </w:tc>
      <w:tc>
        <w:tcPr>
          <w:tcW w:w="3464" w:type="dxa"/>
          <w:vAlign w:val="bottom"/>
        </w:tcPr>
        <w:p w14:paraId="7F3F61CD" w14:textId="77777777" w:rsidR="007B40B2" w:rsidRPr="00725883" w:rsidRDefault="007B40B2" w:rsidP="00A608EB">
          <w:pPr>
            <w:pStyle w:val="Footer"/>
            <w:jc w:val="right"/>
          </w:pPr>
          <w:r>
            <w:t xml:space="preserve">Page </w:t>
          </w:r>
          <w:r>
            <w:fldChar w:fldCharType="begin"/>
          </w:r>
          <w:r>
            <w:instrText xml:space="preserve"> page </w:instrText>
          </w:r>
          <w:r>
            <w:fldChar w:fldCharType="separate"/>
          </w:r>
          <w:r w:rsidR="007D7CA7">
            <w:t>4</w:t>
          </w:r>
          <w:r>
            <w:fldChar w:fldCharType="end"/>
          </w:r>
        </w:p>
      </w:tc>
    </w:tr>
  </w:tbl>
  <w:p w14:paraId="065A6665" w14:textId="77777777" w:rsidR="007B40B2" w:rsidRDefault="007B40B2" w:rsidP="00493CF1">
    <w:pPr>
      <w:pStyle w:val="Footer"/>
      <w:jc w:val="righ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C3A81C2" w14:textId="77777777" w:rsidR="007B40B2" w:rsidRDefault="007B40B2"/>
  <w:tbl>
    <w:tblPr>
      <w:tblStyle w:val="Plaingrid"/>
      <w:tblW w:w="5000" w:type="pct"/>
      <w:tblLook w:val="04A0" w:firstRow="1" w:lastRow="0" w:firstColumn="1" w:lastColumn="0" w:noHBand="0" w:noVBand="1"/>
    </w:tblPr>
    <w:tblGrid>
      <w:gridCol w:w="5877"/>
      <w:gridCol w:w="3591"/>
    </w:tblGrid>
    <w:tr w:rsidR="007B40B2" w14:paraId="45B00AFF" w14:textId="77777777" w:rsidTr="000364E3">
      <w:tc>
        <w:tcPr>
          <w:tcW w:w="5670" w:type="dxa"/>
        </w:tcPr>
        <w:p w14:paraId="39A53B56" w14:textId="0134DBB0" w:rsidR="007B40B2" w:rsidRDefault="007B40B2" w:rsidP="00C2143D">
          <w:pPr>
            <w:pStyle w:val="Footer"/>
          </w:pPr>
          <w:r>
            <w:fldChar w:fldCharType="begin"/>
          </w:r>
          <w:r>
            <w:instrText xml:space="preserve"> if </w:instrText>
          </w:r>
          <w:r w:rsidR="007D7CA7">
            <w:fldChar w:fldCharType="begin"/>
          </w:r>
          <w:r w:rsidR="007D7CA7">
            <w:instrText xml:space="preserve"> DOCPROPERTY  ShowFilePath \* MERGEFORMAT </w:instrText>
          </w:r>
          <w:r w:rsidR="007D7CA7">
            <w:fldChar w:fldCharType="separate"/>
          </w:r>
          <w:r w:rsidR="007D7CA7">
            <w:instrText>0</w:instrText>
          </w:r>
          <w:r w:rsidR="007D7CA7">
            <w:fldChar w:fldCharType="end"/>
          </w:r>
          <w:r>
            <w:instrText xml:space="preserve">  = 1  </w:instrText>
          </w:r>
          <w:r w:rsidR="007D7CA7">
            <w:fldChar w:fldCharType="begin"/>
          </w:r>
          <w:r w:rsidR="007D7CA7">
            <w:instrText xml:space="preserve"> FILENAME \p  \* MERGEFORMAT </w:instrText>
          </w:r>
          <w:r w:rsidR="007D7CA7">
            <w:fldChar w:fldCharType="separate"/>
          </w:r>
          <w:r>
            <w:instrText>Document3</w:instrText>
          </w:r>
          <w:r w:rsidR="007D7CA7">
            <w:fldChar w:fldCharType="end"/>
          </w:r>
          <w:r>
            <w:instrText xml:space="preserve">  </w:instrText>
          </w:r>
          <w:r>
            <w:fldChar w:fldCharType="end"/>
          </w:r>
          <w:r>
            <w:fldChar w:fldCharType="begin"/>
          </w:r>
          <w:r>
            <w:instrText xml:space="preserve"> if </w:instrText>
          </w:r>
          <w:r w:rsidR="007D7CA7">
            <w:fldChar w:fldCharType="begin"/>
          </w:r>
          <w:r w:rsidR="007D7CA7">
            <w:instrText xml:space="preserve"> DOCPROPERTY  ShowFileName \* MERGEFORMAT </w:instrText>
          </w:r>
          <w:r w:rsidR="007D7CA7">
            <w:fldChar w:fldCharType="separate"/>
          </w:r>
          <w:r w:rsidR="007D7CA7">
            <w:instrText>0</w:instrText>
          </w:r>
          <w:r w:rsidR="007D7CA7">
            <w:fldChar w:fldCharType="end"/>
          </w:r>
          <w:r>
            <w:instrText xml:space="preserve">  = 1  </w:instrText>
          </w:r>
          <w:r w:rsidR="007D7CA7">
            <w:fldChar w:fldCharType="begin"/>
          </w:r>
          <w:r w:rsidR="007D7CA7">
            <w:instrText xml:space="preserve"> FILENAME   \* MERGEFORMAT </w:instrText>
          </w:r>
          <w:r w:rsidR="007D7CA7">
            <w:fldChar w:fldCharType="separate"/>
          </w:r>
          <w:r>
            <w:instrText>C:\Data\Word97\Template\Aecom\Aecom_Letter.Dotm</w:instrText>
          </w:r>
          <w:r w:rsidR="007D7CA7">
            <w:fldChar w:fldCharType="end"/>
          </w:r>
          <w:r>
            <w:instrText xml:space="preserve">  </w:instrText>
          </w:r>
          <w:r>
            <w:fldChar w:fldCharType="end"/>
          </w:r>
          <w:bookmarkStart w:id="327" w:name="Text_Contents"/>
          <w:bookmarkStart w:id="328" w:name="TOC"/>
        </w:p>
      </w:tc>
      <w:tc>
        <w:tcPr>
          <w:tcW w:w="3464" w:type="dxa"/>
          <w:vAlign w:val="bottom"/>
        </w:tcPr>
        <w:p w14:paraId="076EEE13" w14:textId="0650A862" w:rsidR="007B40B2" w:rsidRPr="00725883" w:rsidRDefault="007B40B2" w:rsidP="00A608EB">
          <w:pPr>
            <w:pStyle w:val="Footer"/>
            <w:jc w:val="right"/>
          </w:pPr>
          <w:r>
            <w:t xml:space="preserve">Page </w:t>
          </w:r>
          <w:r>
            <w:fldChar w:fldCharType="begin"/>
          </w:r>
          <w:r>
            <w:instrText xml:space="preserve"> page </w:instrText>
          </w:r>
          <w:r>
            <w:fldChar w:fldCharType="separate"/>
          </w:r>
          <w:r w:rsidR="007D7CA7">
            <w:t>7</w:t>
          </w:r>
          <w:r>
            <w:fldChar w:fldCharType="end"/>
          </w:r>
        </w:p>
      </w:tc>
    </w:tr>
    <w:bookmarkEnd w:id="327"/>
    <w:bookmarkEnd w:id="328"/>
  </w:tbl>
  <w:p w14:paraId="0DA2A60B" w14:textId="77777777" w:rsidR="007B40B2" w:rsidRDefault="007B40B2" w:rsidP="00493CF1">
    <w:pPr>
      <w:pStyle w:val="Footer"/>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AC0249F" w14:textId="77777777" w:rsidR="007B40B2" w:rsidRPr="00253171" w:rsidRDefault="007B40B2" w:rsidP="00253171">
      <w:pPr>
        <w:spacing w:line="240" w:lineRule="auto"/>
        <w:rPr>
          <w:color w:val="00B5E2" w:themeColor="accent1"/>
        </w:rPr>
      </w:pPr>
      <w:r w:rsidRPr="00253171">
        <w:rPr>
          <w:color w:val="00B5E2" w:themeColor="accent1"/>
        </w:rPr>
        <w:separator/>
      </w:r>
      <w:r w:rsidRPr="00253171">
        <w:rPr>
          <w:color w:val="00B5E2" w:themeColor="accent1"/>
        </w:rPr>
        <w:separator/>
      </w:r>
    </w:p>
  </w:footnote>
  <w:footnote w:type="continuationSeparator" w:id="0">
    <w:p w14:paraId="73218542" w14:textId="77777777" w:rsidR="007B40B2" w:rsidRPr="00253171" w:rsidRDefault="007B40B2" w:rsidP="00253171">
      <w:pPr>
        <w:spacing w:line="240" w:lineRule="auto"/>
        <w:rPr>
          <w:color w:val="00B5E2" w:themeColor="accent1"/>
        </w:rPr>
      </w:pPr>
      <w:r w:rsidRPr="00253171">
        <w:rPr>
          <w:color w:val="00B5E2" w:themeColor="accent1"/>
        </w:rPr>
        <w:separator/>
      </w:r>
      <w:r w:rsidRPr="00253171">
        <w:rPr>
          <w:color w:val="00B5E2" w:themeColor="accent1"/>
        </w:rPr>
        <w: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Plaingrid"/>
      <w:tblW w:w="4990" w:type="pct"/>
      <w:tblLook w:val="04A0" w:firstRow="1" w:lastRow="0" w:firstColumn="1" w:lastColumn="0" w:noHBand="0" w:noVBand="1"/>
    </w:tblPr>
    <w:tblGrid>
      <w:gridCol w:w="3145"/>
      <w:gridCol w:w="2884"/>
      <w:gridCol w:w="3420"/>
    </w:tblGrid>
    <w:tr w:rsidR="007B40B2" w14:paraId="30A10461" w14:textId="77777777" w:rsidTr="002C4272">
      <w:trPr>
        <w:trHeight w:val="460"/>
      </w:trPr>
      <w:tc>
        <w:tcPr>
          <w:tcW w:w="3146" w:type="dxa"/>
        </w:tcPr>
        <w:p w14:paraId="1DCC6899" w14:textId="1881406B" w:rsidR="007B40B2" w:rsidRPr="00BD7922" w:rsidRDefault="007B40B2" w:rsidP="006604C7">
          <w:pPr>
            <w:pStyle w:val="Header"/>
            <w:rPr>
              <w:strike/>
            </w:rPr>
          </w:pPr>
        </w:p>
      </w:tc>
      <w:tc>
        <w:tcPr>
          <w:tcW w:w="2884" w:type="dxa"/>
        </w:tcPr>
        <w:p w14:paraId="4A33F887" w14:textId="77777777" w:rsidR="007B40B2" w:rsidRPr="00624CAA" w:rsidRDefault="007B40B2" w:rsidP="002C4272">
          <w:pPr>
            <w:pStyle w:val="Header"/>
            <w:jc w:val="center"/>
            <w:rPr>
              <w:b/>
              <w:caps/>
              <w:sz w:val="16"/>
              <w:szCs w:val="16"/>
            </w:rPr>
          </w:pPr>
          <w:r w:rsidRPr="00624CAA">
            <w:rPr>
              <w:b/>
              <w:caps/>
              <w:sz w:val="16"/>
              <w:szCs w:val="16"/>
            </w:rPr>
            <w:fldChar w:fldCharType="begin"/>
          </w:r>
          <w:r w:rsidRPr="00624CAA">
            <w:rPr>
              <w:b/>
              <w:caps/>
              <w:sz w:val="16"/>
              <w:szCs w:val="16"/>
            </w:rPr>
            <w:instrText xml:space="preserve"> DOCPROPERTY  ProtectiveMarking \* MERGEFORMAT </w:instrText>
          </w:r>
          <w:r w:rsidRPr="00624CAA">
            <w:rPr>
              <w:b/>
              <w:caps/>
              <w:sz w:val="16"/>
              <w:szCs w:val="16"/>
            </w:rPr>
            <w:fldChar w:fldCharType="end"/>
          </w:r>
        </w:p>
        <w:p w14:paraId="2831CA5B" w14:textId="46D23DE4" w:rsidR="007B40B2" w:rsidRPr="00624CAA" w:rsidRDefault="007B40B2" w:rsidP="002C4272">
          <w:pPr>
            <w:pStyle w:val="Header"/>
            <w:jc w:val="center"/>
            <w:rPr>
              <w:b/>
              <w:caps/>
              <w:sz w:val="16"/>
              <w:szCs w:val="16"/>
            </w:rPr>
          </w:pPr>
          <w:r w:rsidRPr="002F3B02">
            <w:rPr>
              <w:b/>
              <w:sz w:val="24"/>
              <w:szCs w:val="24"/>
            </w:rPr>
            <w:fldChar w:fldCharType="begin"/>
          </w:r>
          <w:r w:rsidRPr="002F3B02">
            <w:rPr>
              <w:b/>
              <w:sz w:val="24"/>
              <w:szCs w:val="24"/>
            </w:rPr>
            <w:instrText xml:space="preserve"> DOCPROPERTY  Draft \* MERGEFORMAT </w:instrText>
          </w:r>
          <w:r w:rsidRPr="002F3B02">
            <w:rPr>
              <w:b/>
              <w:sz w:val="24"/>
              <w:szCs w:val="24"/>
            </w:rPr>
            <w:fldChar w:fldCharType="separate"/>
          </w:r>
          <w:r w:rsidR="007D7CA7">
            <w:rPr>
              <w:b/>
              <w:sz w:val="24"/>
              <w:szCs w:val="24"/>
            </w:rPr>
            <w:t xml:space="preserve"> </w:t>
          </w:r>
          <w:r w:rsidRPr="002F3B02">
            <w:rPr>
              <w:b/>
              <w:sz w:val="24"/>
              <w:szCs w:val="24"/>
            </w:rPr>
            <w:fldChar w:fldCharType="end"/>
          </w:r>
        </w:p>
      </w:tc>
      <w:tc>
        <w:tcPr>
          <w:tcW w:w="3420" w:type="dxa"/>
        </w:tcPr>
        <w:p w14:paraId="4B0A8980" w14:textId="522A3FB0" w:rsidR="007B40B2" w:rsidRDefault="007B40B2" w:rsidP="002C4272">
          <w:pPr>
            <w:pStyle w:val="Header"/>
            <w:tabs>
              <w:tab w:val="clear" w:pos="284"/>
              <w:tab w:val="left" w:pos="-558"/>
              <w:tab w:val="left" w:pos="2132"/>
            </w:tabs>
            <w:ind w:left="-558"/>
            <w:jc w:val="right"/>
          </w:pPr>
          <w:r>
            <w:t>FY20 Cowhouse HUC-8 Watershed, Texas</w:t>
          </w:r>
        </w:p>
        <w:p w14:paraId="6E49CA0A" w14:textId="7EEC1791" w:rsidR="007B40B2" w:rsidRPr="002B213B" w:rsidRDefault="007B40B2" w:rsidP="002C4272">
          <w:pPr>
            <w:pStyle w:val="Header"/>
            <w:tabs>
              <w:tab w:val="left" w:pos="2132"/>
            </w:tabs>
            <w:jc w:val="right"/>
          </w:pPr>
          <w:r>
            <w:t>| August  2022</w:t>
          </w:r>
        </w:p>
        <w:p w14:paraId="6D60AB85" w14:textId="1FD8D9F8" w:rsidR="007B40B2" w:rsidRPr="00E70621" w:rsidRDefault="007B40B2" w:rsidP="002C4272">
          <w:pPr>
            <w:pStyle w:val="Header"/>
            <w:jc w:val="right"/>
            <w:rPr>
              <w:highlight w:val="yellow"/>
            </w:rPr>
          </w:pPr>
          <w:r w:rsidRPr="00E70621">
            <w:rPr>
              <w:highlight w:val="yellow"/>
            </w:rPr>
            <w:fldChar w:fldCharType="begin"/>
          </w:r>
          <w:r w:rsidRPr="00E70621">
            <w:rPr>
              <w:highlight w:val="yellow"/>
            </w:rPr>
            <w:instrText xml:space="preserve"> DOCPROPERTY  ProjectNumber \* MERGEFORMAT </w:instrText>
          </w:r>
          <w:r w:rsidRPr="00E70621">
            <w:rPr>
              <w:highlight w:val="yellow"/>
            </w:rPr>
            <w:fldChar w:fldCharType="separate"/>
          </w:r>
          <w:r w:rsidR="007D7CA7">
            <w:rPr>
              <w:highlight w:val="yellow"/>
            </w:rPr>
            <w:t xml:space="preserve"> </w:t>
          </w:r>
          <w:r w:rsidRPr="00E70621">
            <w:rPr>
              <w:highlight w:val="yellow"/>
            </w:rPr>
            <w:fldChar w:fldCharType="end"/>
          </w:r>
        </w:p>
      </w:tc>
    </w:tr>
  </w:tbl>
  <w:p w14:paraId="2C31C8D8" w14:textId="78EE2A89" w:rsidR="007B40B2" w:rsidRDefault="007B40B2">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8B7A69D2"/>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A6EAF11E"/>
    <w:lvl w:ilvl="0">
      <w:start w:val="1"/>
      <w:numFmt w:val="decimal"/>
      <w:pStyle w:val="ListNumber4"/>
      <w:lvlText w:val="%1."/>
      <w:lvlJc w:val="left"/>
      <w:pPr>
        <w:tabs>
          <w:tab w:val="num" w:pos="1209"/>
        </w:tabs>
        <w:ind w:left="1209" w:hanging="360"/>
      </w:pPr>
    </w:lvl>
  </w:abstractNum>
  <w:abstractNum w:abstractNumId="2">
    <w:nsid w:val="FFFFFF80"/>
    <w:multiLevelType w:val="singleLevel"/>
    <w:tmpl w:val="181A1024"/>
    <w:lvl w:ilvl="0">
      <w:start w:val="1"/>
      <w:numFmt w:val="bullet"/>
      <w:pStyle w:val="ListBullet5"/>
      <w:lvlText w:val=""/>
      <w:lvlJc w:val="left"/>
      <w:pPr>
        <w:tabs>
          <w:tab w:val="num" w:pos="1492"/>
        </w:tabs>
        <w:ind w:left="1492" w:hanging="360"/>
      </w:pPr>
      <w:rPr>
        <w:rFonts w:ascii="Symbol" w:hAnsi="Symbol" w:hint="default"/>
      </w:rPr>
    </w:lvl>
  </w:abstractNum>
  <w:abstractNum w:abstractNumId="3">
    <w:nsid w:val="FFFFFF81"/>
    <w:multiLevelType w:val="singleLevel"/>
    <w:tmpl w:val="DADEFE72"/>
    <w:lvl w:ilvl="0">
      <w:start w:val="1"/>
      <w:numFmt w:val="bullet"/>
      <w:pStyle w:val="ListBullet4"/>
      <w:lvlText w:val=""/>
      <w:lvlJc w:val="left"/>
      <w:pPr>
        <w:tabs>
          <w:tab w:val="num" w:pos="1209"/>
        </w:tabs>
        <w:ind w:left="1209" w:hanging="360"/>
      </w:pPr>
      <w:rPr>
        <w:rFonts w:ascii="Symbol" w:hAnsi="Symbol" w:hint="default"/>
      </w:rPr>
    </w:lvl>
  </w:abstractNum>
  <w:abstractNum w:abstractNumId="4">
    <w:nsid w:val="00F85F2E"/>
    <w:multiLevelType w:val="hybridMultilevel"/>
    <w:tmpl w:val="0A62C986"/>
    <w:lvl w:ilvl="0" w:tplc="04090001">
      <w:start w:val="1"/>
      <w:numFmt w:val="bullet"/>
      <w:lvlText w:val=""/>
      <w:lvlJc w:val="left"/>
      <w:pPr>
        <w:ind w:left="720" w:hanging="360"/>
      </w:pPr>
      <w:rPr>
        <w:rFonts w:ascii="Symbol" w:hAnsi="Symbol" w:hint="default"/>
      </w:rPr>
    </w:lvl>
    <w:lvl w:ilvl="1" w:tplc="AF8C0CB0">
      <w:numFmt w:val="bullet"/>
      <w:lvlText w:val="•"/>
      <w:lvlJc w:val="left"/>
      <w:pPr>
        <w:ind w:left="1800" w:hanging="720"/>
      </w:pPr>
      <w:rPr>
        <w:rFonts w:ascii="Arial" w:eastAsia="Times New Roman"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2C57525"/>
    <w:multiLevelType w:val="hybridMultilevel"/>
    <w:tmpl w:val="A0C63F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8AB481A"/>
    <w:multiLevelType w:val="multilevel"/>
    <w:tmpl w:val="22544628"/>
    <w:styleLink w:val="AECOMNumbering"/>
    <w:lvl w:ilvl="0">
      <w:start w:val="1"/>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7">
    <w:nsid w:val="0E406F3E"/>
    <w:multiLevelType w:val="multilevel"/>
    <w:tmpl w:val="1F30E436"/>
    <w:styleLink w:val="AECOMSectionnumbering"/>
    <w:lvl w:ilvl="0">
      <w:start w:val="1"/>
      <w:numFmt w:val="decimalZero"/>
      <w:lvlText w:val="%1"/>
      <w:lvlJc w:val="left"/>
      <w:pPr>
        <w:ind w:left="1134" w:hanging="1134"/>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nsid w:val="13391507"/>
    <w:multiLevelType w:val="hybridMultilevel"/>
    <w:tmpl w:val="B366CC0C"/>
    <w:lvl w:ilvl="0" w:tplc="052A9D7C">
      <w:start w:val="1"/>
      <w:numFmt w:val="bullet"/>
      <w:pStyle w:val="3TextBoxBullets"/>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92A26E9"/>
    <w:multiLevelType w:val="multilevel"/>
    <w:tmpl w:val="0809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0">
    <w:nsid w:val="1A8B00A2"/>
    <w:multiLevelType w:val="multilevel"/>
    <w:tmpl w:val="DB3C37A8"/>
    <w:name w:val="AECOM Outline numbering"/>
    <w:styleLink w:val="AECOMAppendix"/>
    <w:lvl w:ilvl="0">
      <w:start w:val="1"/>
      <w:numFmt w:val="upperLetter"/>
      <w:suff w:val="nothing"/>
      <w:lvlText w:val="Appendix %1  "/>
      <w:lvlJc w:val="left"/>
      <w:pPr>
        <w:ind w:left="0" w:firstLine="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nsid w:val="1D853326"/>
    <w:multiLevelType w:val="hybridMultilevel"/>
    <w:tmpl w:val="0DE0B1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28325AB"/>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nsid w:val="29FC5E9A"/>
    <w:multiLevelType w:val="hybridMultilevel"/>
    <w:tmpl w:val="71EAB2E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A0118C5"/>
    <w:multiLevelType w:val="multilevel"/>
    <w:tmpl w:val="DC22BBC8"/>
    <w:styleLink w:val="AECOMTableBullets"/>
    <w:lvl w:ilvl="0">
      <w:start w:val="1"/>
      <w:numFmt w:val="bullet"/>
      <w:lvlText w:val=""/>
      <w:lvlJc w:val="left"/>
      <w:pPr>
        <w:ind w:left="284" w:hanging="284"/>
      </w:pPr>
      <w:rPr>
        <w:rFonts w:ascii="Symbol" w:hAnsi="Symbol" w:hint="default"/>
        <w:color w:val="auto"/>
      </w:rPr>
    </w:lvl>
    <w:lvl w:ilvl="1">
      <w:start w:val="1"/>
      <w:numFmt w:val="bullet"/>
      <w:lvlText w:val="─"/>
      <w:lvlJc w:val="left"/>
      <w:pPr>
        <w:ind w:left="568" w:hanging="284"/>
      </w:pPr>
      <w:rPr>
        <w:rFonts w:ascii="Calibri" w:hAnsi="Calibri" w:hint="default"/>
        <w:color w:val="auto"/>
      </w:rPr>
    </w:lvl>
    <w:lvl w:ilvl="2">
      <w:start w:val="1"/>
      <w:numFmt w:val="bullet"/>
      <w:lvlText w:val="o"/>
      <w:lvlJc w:val="left"/>
      <w:pPr>
        <w:ind w:left="852" w:hanging="284"/>
      </w:pPr>
      <w:rPr>
        <w:rFonts w:ascii="Courier New" w:hAnsi="Courier New" w:hint="default"/>
      </w:rPr>
    </w:lvl>
    <w:lvl w:ilvl="3">
      <w:start w:val="1"/>
      <w:numFmt w:val="bullet"/>
      <w:lvlText w:val=""/>
      <w:lvlJc w:val="left"/>
      <w:pPr>
        <w:ind w:left="1136" w:hanging="284"/>
      </w:pPr>
      <w:rPr>
        <w:rFonts w:ascii="Symbol" w:hAnsi="Symbol" w:hint="default"/>
        <w:color w:val="auto"/>
      </w:rPr>
    </w:lvl>
    <w:lvl w:ilvl="4">
      <w:start w:val="1"/>
      <w:numFmt w:val="bullet"/>
      <w:lvlText w:val="─"/>
      <w:lvlJc w:val="left"/>
      <w:pPr>
        <w:ind w:left="1420" w:hanging="284"/>
      </w:pPr>
      <w:rPr>
        <w:rFonts w:ascii="Calibri" w:hAnsi="Calibri" w:hint="default"/>
        <w:color w:val="auto"/>
      </w:rPr>
    </w:lvl>
    <w:lvl w:ilvl="5">
      <w:start w:val="1"/>
      <w:numFmt w:val="bullet"/>
      <w:lvlText w:val="o"/>
      <w:lvlJc w:val="left"/>
      <w:pPr>
        <w:ind w:left="1704" w:hanging="284"/>
      </w:pPr>
      <w:rPr>
        <w:rFonts w:ascii="Courier New" w:hAnsi="Courier New" w:hint="default"/>
      </w:rPr>
    </w:lvl>
    <w:lvl w:ilvl="6">
      <w:start w:val="1"/>
      <w:numFmt w:val="bullet"/>
      <w:lvlText w:val=""/>
      <w:lvlJc w:val="left"/>
      <w:pPr>
        <w:ind w:left="1988" w:hanging="284"/>
      </w:pPr>
      <w:rPr>
        <w:rFonts w:ascii="Symbol" w:hAnsi="Symbol" w:hint="default"/>
        <w:color w:val="auto"/>
      </w:rPr>
    </w:lvl>
    <w:lvl w:ilvl="7">
      <w:start w:val="1"/>
      <w:numFmt w:val="bullet"/>
      <w:lvlText w:val="─"/>
      <w:lvlJc w:val="left"/>
      <w:pPr>
        <w:ind w:left="2272" w:hanging="284"/>
      </w:pPr>
      <w:rPr>
        <w:rFonts w:ascii="Calibri" w:hAnsi="Calibri" w:hint="default"/>
        <w:color w:val="auto"/>
      </w:rPr>
    </w:lvl>
    <w:lvl w:ilvl="8">
      <w:start w:val="1"/>
      <w:numFmt w:val="bullet"/>
      <w:lvlText w:val="o"/>
      <w:lvlJc w:val="left"/>
      <w:pPr>
        <w:ind w:left="2556" w:hanging="284"/>
      </w:pPr>
      <w:rPr>
        <w:rFonts w:ascii="Courier New" w:hAnsi="Courier New" w:hint="default"/>
      </w:rPr>
    </w:lvl>
  </w:abstractNum>
  <w:abstractNum w:abstractNumId="15">
    <w:nsid w:val="2DBC3336"/>
    <w:multiLevelType w:val="hybridMultilevel"/>
    <w:tmpl w:val="75887BEA"/>
    <w:lvl w:ilvl="0" w:tplc="4FE8D170">
      <w:numFmt w:val="bullet"/>
      <w:lvlText w:val="•"/>
      <w:lvlJc w:val="left"/>
      <w:pPr>
        <w:ind w:left="1080" w:hanging="72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5DD208B"/>
    <w:multiLevelType w:val="hybridMultilevel"/>
    <w:tmpl w:val="5CD6F8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754570F"/>
    <w:multiLevelType w:val="multilevel"/>
    <w:tmpl w:val="66AC3F00"/>
    <w:name w:val="AECOM Outline numbering3"/>
    <w:lvl w:ilvl="0">
      <w:start w:val="1"/>
      <w:numFmt w:val="upperLetter"/>
      <w:pStyle w:val="Appendix"/>
      <w:suff w:val="space"/>
      <w:lvlText w:val="Appendix %1"/>
      <w:lvlJc w:val="left"/>
      <w:pPr>
        <w:ind w:left="0" w:firstLine="0"/>
      </w:pPr>
      <w:rPr>
        <w:rFonts w:hint="default"/>
      </w:rPr>
    </w:lvl>
    <w:lvl w:ilvl="1">
      <w:start w:val="1"/>
      <w:numFmt w:val="decimal"/>
      <w:lvlText w:val="%1.%2"/>
      <w:lvlJc w:val="left"/>
      <w:pPr>
        <w:ind w:left="357" w:hanging="357"/>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
    <w:nsid w:val="37DD5406"/>
    <w:multiLevelType w:val="hybridMultilevel"/>
    <w:tmpl w:val="3266ED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A383484"/>
    <w:multiLevelType w:val="multilevel"/>
    <w:tmpl w:val="60B68AA8"/>
    <w:styleLink w:val="AECOMTableNumbering"/>
    <w:lvl w:ilvl="0">
      <w:start w:val="1"/>
      <w:numFmt w:val="decimal"/>
      <w:pStyle w:val="TableListNumber"/>
      <w:lvlText w:val="%1."/>
      <w:lvlJc w:val="left"/>
      <w:pPr>
        <w:ind w:left="284" w:hanging="284"/>
      </w:pPr>
      <w:rPr>
        <w:rFonts w:hint="default"/>
      </w:rPr>
    </w:lvl>
    <w:lvl w:ilvl="1">
      <w:start w:val="1"/>
      <w:numFmt w:val="lowerLetter"/>
      <w:pStyle w:val="TableListNumber2"/>
      <w:lvlText w:val="%2."/>
      <w:lvlJc w:val="left"/>
      <w:pPr>
        <w:ind w:left="568" w:hanging="284"/>
      </w:pPr>
      <w:rPr>
        <w:rFonts w:hint="default"/>
      </w:rPr>
    </w:lvl>
    <w:lvl w:ilvl="2">
      <w:start w:val="1"/>
      <w:numFmt w:val="lowerRoman"/>
      <w:pStyle w:val="TableListNumber3"/>
      <w:lvlText w:val="%3."/>
      <w:lvlJc w:val="left"/>
      <w:pPr>
        <w:ind w:left="852" w:hanging="284"/>
      </w:pPr>
      <w:rPr>
        <w:rFonts w:hint="default"/>
      </w:rPr>
    </w:lvl>
    <w:lvl w:ilvl="3">
      <w:start w:val="1"/>
      <w:numFmt w:val="decimal"/>
      <w:lvlText w:val="(%4)"/>
      <w:lvlJc w:val="left"/>
      <w:pPr>
        <w:ind w:left="1136" w:hanging="284"/>
      </w:pPr>
      <w:rPr>
        <w:rFonts w:hint="default"/>
      </w:rPr>
    </w:lvl>
    <w:lvl w:ilvl="4">
      <w:start w:val="1"/>
      <w:numFmt w:val="lowerLetter"/>
      <w:lvlText w:val="(%5)"/>
      <w:lvlJc w:val="left"/>
      <w:pPr>
        <w:ind w:left="1420" w:hanging="284"/>
      </w:pPr>
      <w:rPr>
        <w:rFonts w:hint="default"/>
      </w:rPr>
    </w:lvl>
    <w:lvl w:ilvl="5">
      <w:start w:val="1"/>
      <w:numFmt w:val="lowerRoman"/>
      <w:lvlText w:val="(%6)"/>
      <w:lvlJc w:val="left"/>
      <w:pPr>
        <w:ind w:left="1704" w:hanging="284"/>
      </w:pPr>
      <w:rPr>
        <w:rFonts w:hint="default"/>
      </w:rPr>
    </w:lvl>
    <w:lvl w:ilvl="6">
      <w:start w:val="1"/>
      <w:numFmt w:val="decimal"/>
      <w:lvlText w:val="%7."/>
      <w:lvlJc w:val="left"/>
      <w:pPr>
        <w:ind w:left="1988" w:hanging="284"/>
      </w:pPr>
      <w:rPr>
        <w:rFonts w:hint="default"/>
      </w:rPr>
    </w:lvl>
    <w:lvl w:ilvl="7">
      <w:start w:val="1"/>
      <w:numFmt w:val="lowerLetter"/>
      <w:lvlText w:val="%8."/>
      <w:lvlJc w:val="left"/>
      <w:pPr>
        <w:ind w:left="2272" w:hanging="284"/>
      </w:pPr>
      <w:rPr>
        <w:rFonts w:hint="default"/>
      </w:rPr>
    </w:lvl>
    <w:lvl w:ilvl="8">
      <w:start w:val="1"/>
      <w:numFmt w:val="lowerRoman"/>
      <w:lvlText w:val="%9."/>
      <w:lvlJc w:val="left"/>
      <w:pPr>
        <w:ind w:left="2556" w:hanging="284"/>
      </w:pPr>
      <w:rPr>
        <w:rFonts w:hint="default"/>
      </w:rPr>
    </w:lvl>
  </w:abstractNum>
  <w:abstractNum w:abstractNumId="20">
    <w:nsid w:val="3E760062"/>
    <w:multiLevelType w:val="hybridMultilevel"/>
    <w:tmpl w:val="9E883F34"/>
    <w:name w:val="AECOM Outline numbering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21265A0"/>
    <w:multiLevelType w:val="hybridMultilevel"/>
    <w:tmpl w:val="CB0E97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4644573A"/>
    <w:multiLevelType w:val="multilevel"/>
    <w:tmpl w:val="3F9A613A"/>
    <w:styleLink w:val="AECOMBullets"/>
    <w:lvl w:ilvl="0">
      <w:start w:val="1"/>
      <w:numFmt w:val="bullet"/>
      <w:lvlText w:val=""/>
      <w:lvlJc w:val="left"/>
      <w:pPr>
        <w:ind w:left="284" w:hanging="284"/>
      </w:pPr>
      <w:rPr>
        <w:rFonts w:ascii="Symbol" w:hAnsi="Symbol" w:hint="default"/>
        <w:color w:val="auto"/>
      </w:rPr>
    </w:lvl>
    <w:lvl w:ilvl="1">
      <w:start w:val="1"/>
      <w:numFmt w:val="bullet"/>
      <w:lvlText w:val="o"/>
      <w:lvlJc w:val="left"/>
      <w:pPr>
        <w:ind w:left="568" w:hanging="284"/>
      </w:pPr>
      <w:rPr>
        <w:rFonts w:ascii="Courier New" w:hAnsi="Courier New" w:hint="default"/>
        <w:color w:val="auto"/>
      </w:rPr>
    </w:lvl>
    <w:lvl w:ilvl="2">
      <w:start w:val="1"/>
      <w:numFmt w:val="bullet"/>
      <w:lvlText w:val="─"/>
      <w:lvlJc w:val="left"/>
      <w:pPr>
        <w:ind w:left="852" w:hanging="284"/>
      </w:pPr>
      <w:rPr>
        <w:rFonts w:ascii="Calibri" w:hAnsi="Calibri" w:hint="default"/>
        <w:color w:val="auto"/>
      </w:rPr>
    </w:lvl>
    <w:lvl w:ilvl="3">
      <w:start w:val="1"/>
      <w:numFmt w:val="bullet"/>
      <w:lvlText w:val=""/>
      <w:lvlJc w:val="left"/>
      <w:pPr>
        <w:ind w:left="1136" w:hanging="284"/>
      </w:pPr>
      <w:rPr>
        <w:rFonts w:ascii="Symbol" w:hAnsi="Symbol" w:hint="default"/>
      </w:rPr>
    </w:lvl>
    <w:lvl w:ilvl="4">
      <w:start w:val="1"/>
      <w:numFmt w:val="bullet"/>
      <w:lvlText w:val="o"/>
      <w:lvlJc w:val="left"/>
      <w:pPr>
        <w:ind w:left="1420" w:hanging="284"/>
      </w:pPr>
      <w:rPr>
        <w:rFonts w:ascii="Courier New" w:hAnsi="Courier New" w:hint="default"/>
      </w:rPr>
    </w:lvl>
    <w:lvl w:ilvl="5">
      <w:start w:val="1"/>
      <w:numFmt w:val="bullet"/>
      <w:lvlText w:val=""/>
      <w:lvlJc w:val="left"/>
      <w:pPr>
        <w:tabs>
          <w:tab w:val="num" w:pos="2346"/>
        </w:tabs>
        <w:ind w:left="1704" w:hanging="284"/>
      </w:pPr>
      <w:rPr>
        <w:rFonts w:ascii="Wingdings" w:hAnsi="Wingdings" w:hint="default"/>
      </w:rPr>
    </w:lvl>
    <w:lvl w:ilvl="6">
      <w:start w:val="1"/>
      <w:numFmt w:val="bullet"/>
      <w:lvlText w:val=""/>
      <w:lvlJc w:val="left"/>
      <w:pPr>
        <w:tabs>
          <w:tab w:val="num" w:pos="2630"/>
        </w:tabs>
        <w:ind w:left="1988" w:hanging="284"/>
      </w:pPr>
      <w:rPr>
        <w:rFonts w:ascii="Symbol" w:hAnsi="Symbol" w:hint="default"/>
      </w:rPr>
    </w:lvl>
    <w:lvl w:ilvl="7">
      <w:start w:val="1"/>
      <w:numFmt w:val="bullet"/>
      <w:lvlText w:val="o"/>
      <w:lvlJc w:val="left"/>
      <w:pPr>
        <w:tabs>
          <w:tab w:val="num" w:pos="2914"/>
        </w:tabs>
        <w:ind w:left="2272" w:hanging="284"/>
      </w:pPr>
      <w:rPr>
        <w:rFonts w:ascii="Courier New" w:hAnsi="Courier New" w:cs="Courier New" w:hint="default"/>
      </w:rPr>
    </w:lvl>
    <w:lvl w:ilvl="8">
      <w:start w:val="1"/>
      <w:numFmt w:val="bullet"/>
      <w:lvlText w:val=""/>
      <w:lvlJc w:val="left"/>
      <w:pPr>
        <w:tabs>
          <w:tab w:val="num" w:pos="3198"/>
        </w:tabs>
        <w:ind w:left="2556" w:hanging="284"/>
      </w:pPr>
      <w:rPr>
        <w:rFonts w:ascii="Wingdings" w:hAnsi="Wingdings" w:hint="default"/>
      </w:rPr>
    </w:lvl>
  </w:abstractNum>
  <w:abstractNum w:abstractNumId="23">
    <w:nsid w:val="4D0C0132"/>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nsid w:val="4F926A09"/>
    <w:multiLevelType w:val="multilevel"/>
    <w:tmpl w:val="99F01D82"/>
    <w:lvl w:ilvl="0">
      <w:start w:val="1"/>
      <w:numFmt w:val="bullet"/>
      <w:pStyle w:val="TableListBullet"/>
      <w:lvlText w:val=""/>
      <w:lvlJc w:val="left"/>
      <w:pPr>
        <w:ind w:left="284" w:hanging="284"/>
      </w:pPr>
      <w:rPr>
        <w:rFonts w:ascii="Symbol" w:hAnsi="Symbol" w:hint="default"/>
        <w:color w:val="auto"/>
      </w:rPr>
    </w:lvl>
    <w:lvl w:ilvl="1">
      <w:start w:val="1"/>
      <w:numFmt w:val="bullet"/>
      <w:pStyle w:val="TableListBullet2"/>
      <w:lvlText w:val="─"/>
      <w:lvlJc w:val="left"/>
      <w:pPr>
        <w:ind w:left="568" w:hanging="284"/>
      </w:pPr>
      <w:rPr>
        <w:rFonts w:ascii="Calibri" w:hAnsi="Calibri" w:hint="default"/>
        <w:color w:val="auto"/>
      </w:rPr>
    </w:lvl>
    <w:lvl w:ilvl="2">
      <w:start w:val="1"/>
      <w:numFmt w:val="bullet"/>
      <w:pStyle w:val="TableListBullet3"/>
      <w:lvlText w:val=""/>
      <w:lvlJc w:val="left"/>
      <w:pPr>
        <w:ind w:left="852" w:hanging="284"/>
      </w:pPr>
      <w:rPr>
        <w:rFonts w:ascii="Wingdings" w:hAnsi="Wingdings" w:hint="default"/>
      </w:rPr>
    </w:lvl>
    <w:lvl w:ilvl="3">
      <w:start w:val="1"/>
      <w:numFmt w:val="bullet"/>
      <w:lvlText w:val=""/>
      <w:lvlJc w:val="left"/>
      <w:pPr>
        <w:ind w:left="1136" w:hanging="284"/>
      </w:pPr>
      <w:rPr>
        <w:rFonts w:ascii="Symbol" w:hAnsi="Symbol" w:hint="default"/>
        <w:color w:val="auto"/>
      </w:rPr>
    </w:lvl>
    <w:lvl w:ilvl="4">
      <w:start w:val="1"/>
      <w:numFmt w:val="bullet"/>
      <w:lvlText w:val="─"/>
      <w:lvlJc w:val="left"/>
      <w:pPr>
        <w:ind w:left="1420" w:hanging="284"/>
      </w:pPr>
      <w:rPr>
        <w:rFonts w:ascii="Calibri" w:hAnsi="Calibri" w:hint="default"/>
        <w:color w:val="auto"/>
      </w:rPr>
    </w:lvl>
    <w:lvl w:ilvl="5">
      <w:start w:val="1"/>
      <w:numFmt w:val="bullet"/>
      <w:lvlText w:val=""/>
      <w:lvlJc w:val="left"/>
      <w:pPr>
        <w:ind w:left="1704" w:hanging="284"/>
      </w:pPr>
      <w:rPr>
        <w:rFonts w:ascii="Wingdings" w:hAnsi="Wingdings" w:hint="default"/>
      </w:rPr>
    </w:lvl>
    <w:lvl w:ilvl="6">
      <w:start w:val="1"/>
      <w:numFmt w:val="bullet"/>
      <w:lvlText w:val=""/>
      <w:lvlJc w:val="left"/>
      <w:pPr>
        <w:ind w:left="1988" w:hanging="284"/>
      </w:pPr>
      <w:rPr>
        <w:rFonts w:ascii="Symbol" w:hAnsi="Symbol" w:hint="default"/>
        <w:color w:val="auto"/>
      </w:rPr>
    </w:lvl>
    <w:lvl w:ilvl="7">
      <w:start w:val="1"/>
      <w:numFmt w:val="bullet"/>
      <w:lvlText w:val="─"/>
      <w:lvlJc w:val="left"/>
      <w:pPr>
        <w:ind w:left="2272" w:hanging="284"/>
      </w:pPr>
      <w:rPr>
        <w:rFonts w:ascii="Calibri" w:hAnsi="Calibri" w:hint="default"/>
        <w:color w:val="auto"/>
      </w:rPr>
    </w:lvl>
    <w:lvl w:ilvl="8">
      <w:start w:val="1"/>
      <w:numFmt w:val="bullet"/>
      <w:lvlText w:val=""/>
      <w:lvlJc w:val="left"/>
      <w:pPr>
        <w:ind w:left="2556" w:hanging="284"/>
      </w:pPr>
      <w:rPr>
        <w:rFonts w:ascii="Wingdings" w:hAnsi="Wingdings" w:hint="default"/>
      </w:rPr>
    </w:lvl>
  </w:abstractNum>
  <w:abstractNum w:abstractNumId="25">
    <w:nsid w:val="51880F48"/>
    <w:multiLevelType w:val="multilevel"/>
    <w:tmpl w:val="5B6227C6"/>
    <w:styleLink w:val="AECOMList"/>
    <w:lvl w:ilvl="0">
      <w:start w:val="1"/>
      <w:numFmt w:val="decimal"/>
      <w:lvlText w:val="%1."/>
      <w:lvlJc w:val="left"/>
      <w:pPr>
        <w:ind w:left="357" w:hanging="357"/>
      </w:pPr>
      <w:rPr>
        <w:rFonts w:hint="default"/>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decimal"/>
      <w:lvlText w:val="%4."/>
      <w:lvlJc w:val="left"/>
      <w:pPr>
        <w:tabs>
          <w:tab w:val="num" w:pos="1431"/>
        </w:tabs>
        <w:ind w:left="1428" w:hanging="357"/>
      </w:pPr>
      <w:rPr>
        <w:rFonts w:hint="default"/>
      </w:rPr>
    </w:lvl>
    <w:lvl w:ilvl="4">
      <w:start w:val="1"/>
      <w:numFmt w:val="lowerLetter"/>
      <w:lvlText w:val="%5."/>
      <w:lvlJc w:val="left"/>
      <w:pPr>
        <w:tabs>
          <w:tab w:val="num" w:pos="1788"/>
        </w:tabs>
        <w:ind w:left="1785" w:hanging="357"/>
      </w:pPr>
      <w:rPr>
        <w:rFonts w:hint="default"/>
      </w:rPr>
    </w:lvl>
    <w:lvl w:ilvl="5">
      <w:start w:val="1"/>
      <w:numFmt w:val="lowerRoman"/>
      <w:lvlText w:val="%6."/>
      <w:lvlJc w:val="right"/>
      <w:pPr>
        <w:tabs>
          <w:tab w:val="num" w:pos="2145"/>
        </w:tabs>
        <w:ind w:left="2142" w:hanging="357"/>
      </w:pPr>
      <w:rPr>
        <w:rFonts w:hint="default"/>
      </w:rPr>
    </w:lvl>
    <w:lvl w:ilvl="6">
      <w:start w:val="1"/>
      <w:numFmt w:val="decimal"/>
      <w:lvlText w:val="%7."/>
      <w:lvlJc w:val="left"/>
      <w:pPr>
        <w:tabs>
          <w:tab w:val="num" w:pos="2502"/>
        </w:tabs>
        <w:ind w:left="2499" w:hanging="357"/>
      </w:pPr>
      <w:rPr>
        <w:rFonts w:hint="default"/>
      </w:rPr>
    </w:lvl>
    <w:lvl w:ilvl="7">
      <w:start w:val="1"/>
      <w:numFmt w:val="lowerLetter"/>
      <w:lvlText w:val="%8."/>
      <w:lvlJc w:val="left"/>
      <w:pPr>
        <w:tabs>
          <w:tab w:val="num" w:pos="2859"/>
        </w:tabs>
        <w:ind w:left="2856" w:hanging="357"/>
      </w:pPr>
      <w:rPr>
        <w:rFonts w:hint="default"/>
      </w:rPr>
    </w:lvl>
    <w:lvl w:ilvl="8">
      <w:start w:val="1"/>
      <w:numFmt w:val="lowerRoman"/>
      <w:lvlText w:val="%9."/>
      <w:lvlJc w:val="right"/>
      <w:pPr>
        <w:tabs>
          <w:tab w:val="num" w:pos="3216"/>
        </w:tabs>
        <w:ind w:left="3213" w:hanging="357"/>
      </w:pPr>
      <w:rPr>
        <w:rFonts w:hint="default"/>
      </w:rPr>
    </w:lvl>
  </w:abstractNum>
  <w:abstractNum w:abstractNumId="26">
    <w:nsid w:val="5571285C"/>
    <w:multiLevelType w:val="multilevel"/>
    <w:tmpl w:val="934C7326"/>
    <w:name w:val="AECOM Outline numbering2"/>
    <w:lvl w:ilvl="0">
      <w:start w:val="1"/>
      <w:numFmt w:val="decimal"/>
      <w:lvlRestart w:val="0"/>
      <w:lvlText w:val="%1."/>
      <w:lvlJc w:val="left"/>
      <w:pPr>
        <w:ind w:left="567" w:hanging="567"/>
      </w:pPr>
      <w:rPr>
        <w:rFonts w:hint="default"/>
      </w:rPr>
    </w:lvl>
    <w:lvl w:ilvl="1">
      <w:start w:val="1"/>
      <w:numFmt w:val="decimal"/>
      <w:pStyle w:val="Numberedtext"/>
      <w:lvlText w:val="%1.%2"/>
      <w:lvlJc w:val="left"/>
      <w:pPr>
        <w:ind w:left="567" w:hanging="567"/>
      </w:pPr>
      <w:rPr>
        <w:rFonts w:hint="default"/>
      </w:rPr>
    </w:lvl>
    <w:lvl w:ilvl="2">
      <w:start w:val="1"/>
      <w:numFmt w:val="decimal"/>
      <w:pStyle w:val="Heading3"/>
      <w:lvlText w:val="%1.%2.%3"/>
      <w:lvlJc w:val="left"/>
      <w:pPr>
        <w:ind w:left="850" w:hanging="850"/>
      </w:pPr>
      <w:rPr>
        <w:rFonts w:hint="default"/>
      </w:rPr>
    </w:lvl>
    <w:lvl w:ilvl="3">
      <w:start w:val="1"/>
      <w:numFmt w:val="decimal"/>
      <w:pStyle w:val="Heading4"/>
      <w:lvlText w:val="%1.%2.%3.%4"/>
      <w:lvlJc w:val="left"/>
      <w:pPr>
        <w:ind w:left="850" w:hanging="850"/>
      </w:pPr>
      <w:rPr>
        <w:rFonts w:hint="default"/>
      </w:rPr>
    </w:lvl>
    <w:lvl w:ilvl="4">
      <w:start w:val="1"/>
      <w:numFmt w:val="decimal"/>
      <w:lvlText w:val="%1.%2.%3.%4.%5"/>
      <w:lvlJc w:val="left"/>
      <w:pPr>
        <w:ind w:left="850" w:hanging="850"/>
      </w:pPr>
      <w:rPr>
        <w:rFonts w:hint="default"/>
      </w:rPr>
    </w:lvl>
    <w:lvl w:ilvl="5">
      <w:start w:val="1"/>
      <w:numFmt w:val="decimal"/>
      <w:lvlText w:val="%1.%2.%3.%4.%5.%6"/>
      <w:lvlJc w:val="left"/>
      <w:pPr>
        <w:ind w:left="850" w:hanging="850"/>
      </w:pPr>
      <w:rPr>
        <w:rFonts w:hint="default"/>
      </w:rPr>
    </w:lvl>
    <w:lvl w:ilvl="6">
      <w:start w:val="1"/>
      <w:numFmt w:val="none"/>
      <w:lvlText w:val=""/>
      <w:lvlJc w:val="left"/>
      <w:pPr>
        <w:ind w:left="850" w:hanging="850"/>
      </w:pPr>
      <w:rPr>
        <w:rFonts w:hint="default"/>
      </w:rPr>
    </w:lvl>
    <w:lvl w:ilvl="7">
      <w:start w:val="1"/>
      <w:numFmt w:val="lowerLetter"/>
      <w:lvlText w:val="%8."/>
      <w:lvlJc w:val="left"/>
      <w:pPr>
        <w:ind w:left="850" w:hanging="850"/>
      </w:pPr>
      <w:rPr>
        <w:rFonts w:hint="default"/>
      </w:rPr>
    </w:lvl>
    <w:lvl w:ilvl="8">
      <w:start w:val="1"/>
      <w:numFmt w:val="lowerRoman"/>
      <w:lvlText w:val="%9."/>
      <w:lvlJc w:val="left"/>
      <w:pPr>
        <w:ind w:left="850" w:hanging="850"/>
      </w:pPr>
      <w:rPr>
        <w:rFonts w:hint="default"/>
      </w:rPr>
    </w:lvl>
  </w:abstractNum>
  <w:abstractNum w:abstractNumId="27">
    <w:nsid w:val="581B5E84"/>
    <w:multiLevelType w:val="multilevel"/>
    <w:tmpl w:val="19506382"/>
    <w:lvl w:ilvl="0">
      <w:start w:val="1"/>
      <w:numFmt w:val="decimal"/>
      <w:suff w:val="space"/>
      <w:lvlText w:val="0%1"/>
      <w:lvlJc w:val="left"/>
      <w:pPr>
        <w:ind w:left="0" w:firstLine="0"/>
      </w:pPr>
      <w:rPr>
        <w:rFonts w:hint="default"/>
        <w:b/>
        <w:i w:val="0"/>
        <w:kern w:val="0"/>
        <w:position w:val="0"/>
        <w:sz w:val="28"/>
        <w:vertAlign w:val="baseline"/>
        <w14:numForm w14:val="default"/>
        <w14:numSpacing w14:val="default"/>
        <w14:stylisticSets/>
        <w14:cntxtAlts w14:val="0"/>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color w:val="F68B1F" w:themeColor="accent3"/>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upperLetter"/>
      <w:suff w:val="space"/>
      <w:lvlText w:val="Appendix %9"/>
      <w:lvlJc w:val="left"/>
      <w:pPr>
        <w:ind w:left="0" w:firstLine="0"/>
      </w:pPr>
      <w:rPr>
        <w:rFonts w:hint="default"/>
      </w:rPr>
    </w:lvl>
  </w:abstractNum>
  <w:abstractNum w:abstractNumId="28">
    <w:nsid w:val="659A027C"/>
    <w:multiLevelType w:val="multilevel"/>
    <w:tmpl w:val="ACFCE65E"/>
    <w:lvl w:ilvl="0">
      <w:start w:val="1"/>
      <w:numFmt w:val="decimal"/>
      <w:pStyle w:val="ListNumber"/>
      <w:lvlText w:val="%1."/>
      <w:lvlJc w:val="left"/>
      <w:pPr>
        <w:ind w:left="425" w:hanging="425"/>
      </w:pPr>
      <w:rPr>
        <w:rFonts w:hint="default"/>
      </w:rPr>
    </w:lvl>
    <w:lvl w:ilvl="1">
      <w:start w:val="1"/>
      <w:numFmt w:val="lowerLetter"/>
      <w:pStyle w:val="ListNumber2"/>
      <w:lvlText w:val="%2."/>
      <w:lvlJc w:val="left"/>
      <w:pPr>
        <w:tabs>
          <w:tab w:val="num" w:pos="850"/>
        </w:tabs>
        <w:ind w:left="850" w:hanging="425"/>
      </w:pPr>
      <w:rPr>
        <w:rFonts w:hint="default"/>
      </w:rPr>
    </w:lvl>
    <w:lvl w:ilvl="2">
      <w:start w:val="1"/>
      <w:numFmt w:val="lowerRoman"/>
      <w:pStyle w:val="ListNumber3"/>
      <w:lvlText w:val="%3."/>
      <w:lvlJc w:val="left"/>
      <w:pPr>
        <w:tabs>
          <w:tab w:val="num" w:pos="1275"/>
        </w:tabs>
        <w:ind w:left="1275" w:hanging="425"/>
      </w:pPr>
      <w:rPr>
        <w:rFonts w:hint="default"/>
      </w:rPr>
    </w:lvl>
    <w:lvl w:ilvl="3">
      <w:start w:val="1"/>
      <w:numFmt w:val="decimal"/>
      <w:lvlText w:val="%4."/>
      <w:lvlJc w:val="left"/>
      <w:pPr>
        <w:tabs>
          <w:tab w:val="num" w:pos="1700"/>
        </w:tabs>
        <w:ind w:left="1700" w:hanging="425"/>
      </w:pPr>
      <w:rPr>
        <w:rFonts w:hint="default"/>
      </w:rPr>
    </w:lvl>
    <w:lvl w:ilvl="4">
      <w:start w:val="1"/>
      <w:numFmt w:val="lowerLetter"/>
      <w:lvlText w:val="%5."/>
      <w:lvlJc w:val="left"/>
      <w:pPr>
        <w:tabs>
          <w:tab w:val="num" w:pos="2125"/>
        </w:tabs>
        <w:ind w:left="2125" w:hanging="425"/>
      </w:pPr>
      <w:rPr>
        <w:rFonts w:hint="default"/>
      </w:rPr>
    </w:lvl>
    <w:lvl w:ilvl="5">
      <w:start w:val="1"/>
      <w:numFmt w:val="lowerRoman"/>
      <w:lvlText w:val="%6."/>
      <w:lvlJc w:val="right"/>
      <w:pPr>
        <w:tabs>
          <w:tab w:val="num" w:pos="2550"/>
        </w:tabs>
        <w:ind w:left="2550" w:hanging="425"/>
      </w:pPr>
      <w:rPr>
        <w:rFonts w:hint="default"/>
      </w:rPr>
    </w:lvl>
    <w:lvl w:ilvl="6">
      <w:start w:val="1"/>
      <w:numFmt w:val="decimal"/>
      <w:lvlText w:val="%7."/>
      <w:lvlJc w:val="left"/>
      <w:pPr>
        <w:tabs>
          <w:tab w:val="num" w:pos="2975"/>
        </w:tabs>
        <w:ind w:left="2975" w:hanging="425"/>
      </w:pPr>
      <w:rPr>
        <w:rFonts w:hint="default"/>
      </w:rPr>
    </w:lvl>
    <w:lvl w:ilvl="7">
      <w:start w:val="1"/>
      <w:numFmt w:val="lowerLetter"/>
      <w:lvlText w:val="%8."/>
      <w:lvlJc w:val="left"/>
      <w:pPr>
        <w:tabs>
          <w:tab w:val="num" w:pos="3400"/>
        </w:tabs>
        <w:ind w:left="3400" w:hanging="425"/>
      </w:pPr>
      <w:rPr>
        <w:rFonts w:hint="default"/>
      </w:rPr>
    </w:lvl>
    <w:lvl w:ilvl="8">
      <w:start w:val="1"/>
      <w:numFmt w:val="lowerRoman"/>
      <w:lvlText w:val="%9."/>
      <w:lvlJc w:val="right"/>
      <w:pPr>
        <w:tabs>
          <w:tab w:val="num" w:pos="3825"/>
        </w:tabs>
        <w:ind w:left="3825" w:hanging="425"/>
      </w:pPr>
      <w:rPr>
        <w:rFonts w:hint="default"/>
      </w:rPr>
    </w:lvl>
  </w:abstractNum>
  <w:abstractNum w:abstractNumId="29">
    <w:nsid w:val="6BED2BB4"/>
    <w:multiLevelType w:val="hybridMultilevel"/>
    <w:tmpl w:val="CCD0F1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6EFE498B"/>
    <w:multiLevelType w:val="multilevel"/>
    <w:tmpl w:val="D88893D6"/>
    <w:lvl w:ilvl="0">
      <w:start w:val="1"/>
      <w:numFmt w:val="bullet"/>
      <w:pStyle w:val="ListBullet"/>
      <w:lvlText w:val=""/>
      <w:lvlJc w:val="left"/>
      <w:pPr>
        <w:tabs>
          <w:tab w:val="num" w:pos="425"/>
        </w:tabs>
        <w:ind w:left="425" w:hanging="425"/>
      </w:pPr>
      <w:rPr>
        <w:rFonts w:ascii="Symbol" w:hAnsi="Symbol" w:hint="default"/>
        <w:color w:val="auto"/>
      </w:rPr>
    </w:lvl>
    <w:lvl w:ilvl="1">
      <w:start w:val="1"/>
      <w:numFmt w:val="bullet"/>
      <w:pStyle w:val="ListBullet2"/>
      <w:lvlText w:val="─"/>
      <w:lvlJc w:val="left"/>
      <w:pPr>
        <w:tabs>
          <w:tab w:val="num" w:pos="851"/>
        </w:tabs>
        <w:ind w:left="850" w:hanging="425"/>
      </w:pPr>
      <w:rPr>
        <w:rFonts w:ascii="Calibri" w:hAnsi="Calibri" w:hint="default"/>
        <w:color w:val="auto"/>
      </w:rPr>
    </w:lvl>
    <w:lvl w:ilvl="2">
      <w:start w:val="1"/>
      <w:numFmt w:val="bullet"/>
      <w:pStyle w:val="ListBullet3"/>
      <w:lvlText w:val=""/>
      <w:lvlJc w:val="left"/>
      <w:pPr>
        <w:tabs>
          <w:tab w:val="num" w:pos="1276"/>
        </w:tabs>
        <w:ind w:left="1275" w:hanging="425"/>
      </w:pPr>
      <w:rPr>
        <w:rFonts w:ascii="Wingdings" w:hAnsi="Wingdings" w:hint="default"/>
        <w:color w:val="auto"/>
      </w:rPr>
    </w:lvl>
    <w:lvl w:ilvl="3">
      <w:start w:val="1"/>
      <w:numFmt w:val="bullet"/>
      <w:lvlText w:val=""/>
      <w:lvlJc w:val="left"/>
      <w:pPr>
        <w:ind w:left="1700" w:hanging="425"/>
      </w:pPr>
      <w:rPr>
        <w:rFonts w:ascii="Symbol" w:hAnsi="Symbol" w:hint="default"/>
      </w:rPr>
    </w:lvl>
    <w:lvl w:ilvl="4">
      <w:start w:val="1"/>
      <w:numFmt w:val="bullet"/>
      <w:lvlText w:val="─"/>
      <w:lvlJc w:val="left"/>
      <w:pPr>
        <w:ind w:left="2125" w:hanging="425"/>
      </w:pPr>
      <w:rPr>
        <w:rFonts w:ascii="Calibri" w:hAnsi="Calibri" w:hint="default"/>
        <w:color w:val="auto"/>
      </w:rPr>
    </w:lvl>
    <w:lvl w:ilvl="5">
      <w:start w:val="1"/>
      <w:numFmt w:val="bullet"/>
      <w:lvlText w:val=""/>
      <w:lvlJc w:val="left"/>
      <w:pPr>
        <w:tabs>
          <w:tab w:val="num" w:pos="2346"/>
        </w:tabs>
        <w:ind w:left="2550" w:hanging="425"/>
      </w:pPr>
      <w:rPr>
        <w:rFonts w:ascii="Wingdings" w:hAnsi="Wingdings" w:hint="default"/>
      </w:rPr>
    </w:lvl>
    <w:lvl w:ilvl="6">
      <w:start w:val="1"/>
      <w:numFmt w:val="bullet"/>
      <w:lvlText w:val=""/>
      <w:lvlJc w:val="left"/>
      <w:pPr>
        <w:tabs>
          <w:tab w:val="num" w:pos="2630"/>
        </w:tabs>
        <w:ind w:left="2975" w:hanging="425"/>
      </w:pPr>
      <w:rPr>
        <w:rFonts w:ascii="Symbol" w:hAnsi="Symbol" w:hint="default"/>
      </w:rPr>
    </w:lvl>
    <w:lvl w:ilvl="7">
      <w:start w:val="1"/>
      <w:numFmt w:val="bullet"/>
      <w:lvlText w:val="─"/>
      <w:lvlJc w:val="left"/>
      <w:pPr>
        <w:tabs>
          <w:tab w:val="num" w:pos="2914"/>
        </w:tabs>
        <w:ind w:left="3400" w:hanging="425"/>
      </w:pPr>
      <w:rPr>
        <w:rFonts w:ascii="Calibri" w:hAnsi="Calibri" w:hint="default"/>
        <w:color w:val="auto"/>
      </w:rPr>
    </w:lvl>
    <w:lvl w:ilvl="8">
      <w:start w:val="1"/>
      <w:numFmt w:val="bullet"/>
      <w:lvlText w:val=""/>
      <w:lvlJc w:val="left"/>
      <w:pPr>
        <w:tabs>
          <w:tab w:val="num" w:pos="3198"/>
        </w:tabs>
        <w:ind w:left="3825" w:hanging="425"/>
      </w:pPr>
      <w:rPr>
        <w:rFonts w:ascii="Wingdings" w:hAnsi="Wingdings" w:hint="default"/>
      </w:rPr>
    </w:lvl>
  </w:abstractNum>
  <w:abstractNum w:abstractNumId="31">
    <w:nsid w:val="74F4137D"/>
    <w:multiLevelType w:val="hybridMultilevel"/>
    <w:tmpl w:val="AB9C2A26"/>
    <w:lvl w:ilvl="0" w:tplc="04090001">
      <w:start w:val="1"/>
      <w:numFmt w:val="bullet"/>
      <w:lvlText w:val=""/>
      <w:lvlJc w:val="left"/>
      <w:pPr>
        <w:ind w:left="994" w:hanging="360"/>
      </w:pPr>
      <w:rPr>
        <w:rFonts w:ascii="Symbol" w:hAnsi="Symbol" w:hint="default"/>
      </w:rPr>
    </w:lvl>
    <w:lvl w:ilvl="1" w:tplc="04090003" w:tentative="1">
      <w:start w:val="1"/>
      <w:numFmt w:val="bullet"/>
      <w:lvlText w:val="o"/>
      <w:lvlJc w:val="left"/>
      <w:pPr>
        <w:ind w:left="1714" w:hanging="360"/>
      </w:pPr>
      <w:rPr>
        <w:rFonts w:ascii="Courier New" w:hAnsi="Courier New" w:cs="Courier New" w:hint="default"/>
      </w:rPr>
    </w:lvl>
    <w:lvl w:ilvl="2" w:tplc="04090005" w:tentative="1">
      <w:start w:val="1"/>
      <w:numFmt w:val="bullet"/>
      <w:lvlText w:val=""/>
      <w:lvlJc w:val="left"/>
      <w:pPr>
        <w:ind w:left="2434" w:hanging="360"/>
      </w:pPr>
      <w:rPr>
        <w:rFonts w:ascii="Wingdings" w:hAnsi="Wingdings" w:hint="default"/>
      </w:rPr>
    </w:lvl>
    <w:lvl w:ilvl="3" w:tplc="04090001" w:tentative="1">
      <w:start w:val="1"/>
      <w:numFmt w:val="bullet"/>
      <w:lvlText w:val=""/>
      <w:lvlJc w:val="left"/>
      <w:pPr>
        <w:ind w:left="3154" w:hanging="360"/>
      </w:pPr>
      <w:rPr>
        <w:rFonts w:ascii="Symbol" w:hAnsi="Symbol" w:hint="default"/>
      </w:rPr>
    </w:lvl>
    <w:lvl w:ilvl="4" w:tplc="04090003" w:tentative="1">
      <w:start w:val="1"/>
      <w:numFmt w:val="bullet"/>
      <w:lvlText w:val="o"/>
      <w:lvlJc w:val="left"/>
      <w:pPr>
        <w:ind w:left="3874" w:hanging="360"/>
      </w:pPr>
      <w:rPr>
        <w:rFonts w:ascii="Courier New" w:hAnsi="Courier New" w:cs="Courier New" w:hint="default"/>
      </w:rPr>
    </w:lvl>
    <w:lvl w:ilvl="5" w:tplc="04090005" w:tentative="1">
      <w:start w:val="1"/>
      <w:numFmt w:val="bullet"/>
      <w:lvlText w:val=""/>
      <w:lvlJc w:val="left"/>
      <w:pPr>
        <w:ind w:left="4594" w:hanging="360"/>
      </w:pPr>
      <w:rPr>
        <w:rFonts w:ascii="Wingdings" w:hAnsi="Wingdings" w:hint="default"/>
      </w:rPr>
    </w:lvl>
    <w:lvl w:ilvl="6" w:tplc="04090001" w:tentative="1">
      <w:start w:val="1"/>
      <w:numFmt w:val="bullet"/>
      <w:lvlText w:val=""/>
      <w:lvlJc w:val="left"/>
      <w:pPr>
        <w:ind w:left="5314" w:hanging="360"/>
      </w:pPr>
      <w:rPr>
        <w:rFonts w:ascii="Symbol" w:hAnsi="Symbol" w:hint="default"/>
      </w:rPr>
    </w:lvl>
    <w:lvl w:ilvl="7" w:tplc="04090003" w:tentative="1">
      <w:start w:val="1"/>
      <w:numFmt w:val="bullet"/>
      <w:lvlText w:val="o"/>
      <w:lvlJc w:val="left"/>
      <w:pPr>
        <w:ind w:left="6034" w:hanging="360"/>
      </w:pPr>
      <w:rPr>
        <w:rFonts w:ascii="Courier New" w:hAnsi="Courier New" w:cs="Courier New" w:hint="default"/>
      </w:rPr>
    </w:lvl>
    <w:lvl w:ilvl="8" w:tplc="04090005" w:tentative="1">
      <w:start w:val="1"/>
      <w:numFmt w:val="bullet"/>
      <w:lvlText w:val=""/>
      <w:lvlJc w:val="left"/>
      <w:pPr>
        <w:ind w:left="6754" w:hanging="360"/>
      </w:pPr>
      <w:rPr>
        <w:rFonts w:ascii="Wingdings" w:hAnsi="Wingdings" w:hint="default"/>
      </w:rPr>
    </w:lvl>
  </w:abstractNum>
  <w:abstractNum w:abstractNumId="32">
    <w:nsid w:val="7E67042B"/>
    <w:multiLevelType w:val="hybridMultilevel"/>
    <w:tmpl w:val="D3DE96D0"/>
    <w:lvl w:ilvl="0" w:tplc="13982006">
      <w:start w:val="1"/>
      <w:numFmt w:val="decimal"/>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33">
    <w:nsid w:val="7FFD7283"/>
    <w:multiLevelType w:val="hybridMultilevel"/>
    <w:tmpl w:val="C7B6096E"/>
    <w:name w:val="AECOM Outline numbering2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2"/>
  </w:num>
  <w:num w:numId="2">
    <w:abstractNumId w:val="25"/>
  </w:num>
  <w:num w:numId="3">
    <w:abstractNumId w:val="3"/>
  </w:num>
  <w:num w:numId="4">
    <w:abstractNumId w:val="2"/>
  </w:num>
  <w:num w:numId="5">
    <w:abstractNumId w:val="1"/>
  </w:num>
  <w:num w:numId="6">
    <w:abstractNumId w:val="0"/>
  </w:num>
  <w:num w:numId="7">
    <w:abstractNumId w:val="6"/>
  </w:num>
  <w:num w:numId="8">
    <w:abstractNumId w:val="10"/>
  </w:num>
  <w:num w:numId="9">
    <w:abstractNumId w:val="26"/>
  </w:num>
  <w:num w:numId="10">
    <w:abstractNumId w:val="7"/>
  </w:num>
  <w:num w:numId="11">
    <w:abstractNumId w:val="12"/>
  </w:num>
  <w:num w:numId="12">
    <w:abstractNumId w:val="23"/>
  </w:num>
  <w:num w:numId="13">
    <w:abstractNumId w:val="9"/>
  </w:num>
  <w:num w:numId="14">
    <w:abstractNumId w:val="30"/>
  </w:num>
  <w:num w:numId="15">
    <w:abstractNumId w:val="28"/>
  </w:num>
  <w:num w:numId="16">
    <w:abstractNumId w:val="14"/>
  </w:num>
  <w:num w:numId="17">
    <w:abstractNumId w:val="19"/>
  </w:num>
  <w:num w:numId="18">
    <w:abstractNumId w:val="19"/>
  </w:num>
  <w:num w:numId="19">
    <w:abstractNumId w:val="24"/>
  </w:num>
  <w:num w:numId="20">
    <w:abstractNumId w:val="17"/>
  </w:num>
  <w:num w:numId="21">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0"/>
  </w:num>
  <w:num w:numId="23">
    <w:abstractNumId w:val="13"/>
  </w:num>
  <w:num w:numId="24">
    <w:abstractNumId w:val="31"/>
  </w:num>
  <w:num w:numId="25">
    <w:abstractNumId w:val="20"/>
  </w:num>
  <w:num w:numId="26">
    <w:abstractNumId w:val="33"/>
  </w:num>
  <w:num w:numId="27">
    <w:abstractNumId w:val="5"/>
  </w:num>
  <w:num w:numId="28">
    <w:abstractNumId w:val="21"/>
  </w:num>
  <w:num w:numId="29">
    <w:abstractNumId w:val="8"/>
  </w:num>
  <w:num w:numId="30">
    <w:abstractNumId w:val="26"/>
  </w:num>
  <w:num w:numId="31">
    <w:abstractNumId w:val="29"/>
  </w:num>
  <w:num w:numId="32">
    <w:abstractNumId w:val="18"/>
  </w:num>
  <w:num w:numId="33">
    <w:abstractNumId w:val="4"/>
  </w:num>
  <w:num w:numId="34">
    <w:abstractNumId w:val="15"/>
  </w:num>
  <w:num w:numId="35">
    <w:abstractNumId w:val="26"/>
  </w:num>
  <w:num w:numId="36">
    <w:abstractNumId w:val="11"/>
  </w:num>
  <w:num w:numId="37">
    <w:abstractNumId w:val="32"/>
  </w:num>
  <w:num w:numId="38">
    <w:abstractNumId w:val="27"/>
  </w:num>
  <w:num w:numId="39">
    <w:abstractNumId w:val="28"/>
    <w:lvlOverride w:ilvl="0">
      <w:startOverride w:val="2"/>
    </w:lvlOverride>
  </w:num>
  <w:num w:numId="40">
    <w:abstractNumId w:val="16"/>
  </w:num>
  <w:num w:numId="41">
    <w:abstractNumId w:val="26"/>
  </w:num>
  <w:num w:numId="42">
    <w:abstractNumId w:val="26"/>
  </w:num>
  <w:numIdMacAtCleanup w:val="2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mith, April (Austin)">
    <w15:presenceInfo w15:providerId="AD" w15:userId="S::April.Smith@aecom.com::9cf7e13a-69bf-4635-827c-f3620a6b4ddd"/>
  </w15:person>
  <w15:person w15:author="Luo, Huilan">
    <w15:presenceInfo w15:providerId="AD" w15:userId="S::huilan.luo@aecom.com::c50361c6-b3d4-4b34-92dc-642b4c430a1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hideSpellingErrors/>
  <w:hideGrammaticalErrors/>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20"/>
  <w:drawingGridHorizontalSpacing w:val="6"/>
  <w:drawingGridVerticalSpacing w:val="6"/>
  <w:displayHorizontalDrawingGridEvery w:val="0"/>
  <w:displayVerticalDrawingGridEvery w:val="0"/>
  <w:doNotUseMarginsForDrawingGridOrigin/>
  <w:drawingGridHorizontalOrigin w:val="0"/>
  <w:drawingGridVerticalOrigin w:val="0"/>
  <w:characterSpacingControl w:val="doNotCompress"/>
  <w:hdrShapeDefaults>
    <o:shapedefaults v:ext="edit" spidmax="16588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yNQMiQ1MTSwMjEwsTSyUdpeDU4uLM/DyQAqNaAEtiEaMsAAAA"/>
    <w:docVar w:name="ACTIVATED" w:val="1"/>
    <w:docVar w:name="cbTextLanguage_ListCount" w:val="0"/>
    <w:docVar w:name="cbTextLanguage_ListIndex" w:val="-1"/>
    <w:docVar w:name="CheckBox2" w:val="0"/>
    <w:docVar w:name="chkChangeCoverImage" w:val="0"/>
    <w:docVar w:name="chkDraft" w:val="0"/>
    <w:docVar w:name="chkFileName" w:val="0"/>
    <w:docVar w:name="chkFileNamePath" w:val="0"/>
    <w:docVar w:name="chkIncludeClientInHedaer" w:val="0"/>
    <w:docVar w:name="chkIncludeClientonCover" w:val="0"/>
    <w:docVar w:name="chkOfficeAddressBackcover" w:val="0"/>
    <w:docVar w:name="chkPrintedOnRecycledPaper" w:val="0"/>
    <w:docVar w:name="chkSaveFooterDetails" w:val="0"/>
    <w:docVar w:name="chkSaveOfficeAddress" w:val="0"/>
    <w:docVar w:name="chkScholars" w:val="0"/>
    <w:docVar w:name="chkUKILongformLimitations" w:val="0"/>
    <w:docVar w:name="chkWhiteBorder" w:val="0"/>
    <w:docVar w:name="lbANZDisclaimers_ListCount" w:val="0"/>
    <w:docVar w:name="lbANZDisclaimers_ListIndex" w:val="-1"/>
    <w:docVar w:name="lbANZLimitations_ListCount" w:val="0"/>
    <w:docVar w:name="lbANZLimitations_ListIndex" w:val="-1"/>
    <w:docVar w:name="lbAuthor_ListCount" w:val="0"/>
    <w:docVar w:name="lbAuthor_ListIndex" w:val="-1"/>
    <w:docVar w:name="lbImages_ListCount" w:val="6"/>
    <w:docVar w:name="lbImages_ListIndex" w:val="3"/>
    <w:docVar w:name="lbProtectiveMarkings_0" w:val="None"/>
    <w:docVar w:name="lbProtectiveMarkings_0_0" w:val="None"/>
    <w:docVar w:name="lbProtectiveMarkings_1" w:val="PUBLIC"/>
    <w:docVar w:name="lbProtectiveMarkings_1_0" w:val="PUBLIC"/>
    <w:docVar w:name="lbProtectiveMarkings_2" w:val="OFFICIAL"/>
    <w:docVar w:name="lbProtectiveMarkings_2_0" w:val="OFFICIAL"/>
    <w:docVar w:name="lbProtectiveMarkings_3" w:val="COMPANY CONFIDENTIAL"/>
    <w:docVar w:name="lbProtectiveMarkings_3_0" w:val="COMPANY CONFIDENTIAL"/>
    <w:docVar w:name="lbProtectiveMarkings_4" w:val="COMMERCIAL IN CONFIDENCE"/>
    <w:docVar w:name="lbProtectiveMarkings_4_0" w:val="COMMERCIAL IN CONFIDENCE"/>
    <w:docVar w:name="lbProtectiveMarkings_5" w:val="DRAFT"/>
    <w:docVar w:name="lbProtectiveMarkings_5_0" w:val="DRAFT"/>
    <w:docVar w:name="lbProtectiveMarkings_6" w:val="Free-type ...  (use a comma to denote a new line)"/>
    <w:docVar w:name="lbProtectiveMarkings_6_0" w:val="Free-type ...  (use a comma to denote a new line)"/>
    <w:docVar w:name="lbProtectiveMarkings_ListCount" w:val="7"/>
    <w:docVar w:name="lbProtectiveMarkings_ListIndex" w:val="-1"/>
    <w:docVar w:name="opt1column" w:val="-1"/>
    <w:docVar w:name="opt2column" w:val="0"/>
    <w:docVar w:name="opt3column" w:val="0"/>
    <w:docVar w:name="optA3Landscape" w:val="0"/>
    <w:docVar w:name="optA4" w:val="-1"/>
    <w:docVar w:name="optA4Landscape" w:val="0"/>
    <w:docVar w:name="optA4Portrait" w:val="0"/>
    <w:docVar w:name="optBW" w:val="0"/>
    <w:docVar w:name="optChangeFontAECOMSans" w:val="0"/>
    <w:docVar w:name="optChangeFontArial" w:val="-1"/>
    <w:docVar w:name="optCoversheet" w:val="0"/>
    <w:docVar w:name="optDoubleSided" w:val="0"/>
    <w:docVar w:name="optFont10" w:val="0"/>
    <w:docVar w:name="optFont11" w:val="0"/>
    <w:docVar w:name="optFont12" w:val="0"/>
    <w:docVar w:name="optFont9" w:val="-1"/>
    <w:docVar w:name="optGraphicFull" w:val="0"/>
    <w:docVar w:name="optHeading1Font18" w:val="0"/>
    <w:docVar w:name="optHeading1Font21" w:val="0"/>
    <w:docVar w:name="optHeading1Font24" w:val="-1"/>
    <w:docVar w:name="optLetter" w:val="0"/>
    <w:docVar w:name="optLogo" w:val="-1"/>
    <w:docVar w:name="optNoLogo" w:val="0"/>
    <w:docVar w:name="optNumberedHeadings" w:val="0"/>
    <w:docVar w:name="optNumberedHeadingsParagraphs" w:val="-1"/>
    <w:docVar w:name="optP0" w:val="0"/>
    <w:docVar w:name="optP1" w:val="-1"/>
    <w:docVar w:name="optP2" w:val="0"/>
    <w:docVar w:name="optP3" w:val="0"/>
    <w:docVar w:name="optP4" w:val="0"/>
    <w:docVar w:name="optP5" w:val="0"/>
    <w:docVar w:name="optP6" w:val="0"/>
    <w:docVar w:name="optPhotoFull" w:val="0"/>
    <w:docVar w:name="optPhotoGrahicHalf" w:val="-1"/>
    <w:docVar w:name="optPlainBlue" w:val="0"/>
    <w:docVar w:name="optProposal" w:val="0"/>
    <w:docVar w:name="optS0" w:val="0"/>
    <w:docVar w:name="optS1" w:val="0"/>
    <w:docVar w:name="optS2" w:val="-1"/>
    <w:docVar w:name="optS3" w:val="0"/>
    <w:docVar w:name="optS4" w:val="0"/>
    <w:docVar w:name="optS5" w:val="0"/>
    <w:docVar w:name="optS6" w:val="0"/>
    <w:docVar w:name="optSingleSided" w:val="-1"/>
    <w:docVar w:name="optTechnicalReport" w:val="-1"/>
    <w:docVar w:name="optTender" w:val="0"/>
    <w:docVar w:name="optUnNumberedHeadings" w:val="0"/>
    <w:docVar w:name="optUSLetterLandscape" w:val="0"/>
    <w:docVar w:name="optUSLetterPortrait" w:val="-1"/>
    <w:docVar w:name="RERUN" w:val="1"/>
    <w:docVar w:name="SelectedCountry" w:val="3"/>
    <w:docVar w:name="SelectedEntity" w:val="0"/>
    <w:docVar w:name="SelectedGeo" w:val="0"/>
    <w:docVar w:name="SelectedLanguage" w:val="0"/>
    <w:docVar w:name="SelectedOffice" w:val="25"/>
    <w:docVar w:name="SelectedPageLayout" w:val="5"/>
    <w:docVar w:name="SelectedRegion" w:val="1"/>
    <w:docVar w:name="tbAuthorName" w:val="AECOM"/>
    <w:docVar w:name="tbClient" w:val="Kansas Department of Agriculture Division of Water Resources"/>
    <w:docVar w:name="tbDate" w:val="April 8, 2019"/>
    <w:docVar w:name="tbDocumentTitle" w:val="Verdigris Custom Watershed"/>
    <w:docVar w:name="tbImage" w:val="Water.jpg"/>
    <w:docVar w:name="tbOfficeAddress" w:val="AECOM_x000d__x000a_2380 McGee Street_x000d__x000a_Kansas City, MO 64108_x000d__x000a_aecom.com"/>
    <w:docVar w:name="tbSubtitle" w:val="2D Base Level Engineering"/>
    <w:docVar w:name="tbSupplementaryTitle" w:val="XZY Model Hydrology and Hydraulics"/>
    <w:docVar w:name="TranslateChart" w:val="Chart"/>
    <w:docVar w:name="TranslateFigure" w:val="Figure"/>
    <w:docVar w:name="TranslateTable" w:val="Table"/>
  </w:docVars>
  <w:rsids>
    <w:rsidRoot w:val="0030437A"/>
    <w:rsid w:val="000005B3"/>
    <w:rsid w:val="0000189C"/>
    <w:rsid w:val="00002B07"/>
    <w:rsid w:val="00004730"/>
    <w:rsid w:val="0000567F"/>
    <w:rsid w:val="00005796"/>
    <w:rsid w:val="00007DDE"/>
    <w:rsid w:val="00010C39"/>
    <w:rsid w:val="00011B0A"/>
    <w:rsid w:val="0001291A"/>
    <w:rsid w:val="00012A6F"/>
    <w:rsid w:val="00013801"/>
    <w:rsid w:val="00013B3C"/>
    <w:rsid w:val="000144E9"/>
    <w:rsid w:val="00014BEC"/>
    <w:rsid w:val="00020230"/>
    <w:rsid w:val="0002195C"/>
    <w:rsid w:val="00023F39"/>
    <w:rsid w:val="00027303"/>
    <w:rsid w:val="00027DBC"/>
    <w:rsid w:val="0003139A"/>
    <w:rsid w:val="0003173A"/>
    <w:rsid w:val="0003297A"/>
    <w:rsid w:val="00033871"/>
    <w:rsid w:val="000347AE"/>
    <w:rsid w:val="000364E3"/>
    <w:rsid w:val="00036C92"/>
    <w:rsid w:val="0004147B"/>
    <w:rsid w:val="0004256B"/>
    <w:rsid w:val="000460D6"/>
    <w:rsid w:val="000462A0"/>
    <w:rsid w:val="000470D0"/>
    <w:rsid w:val="0004726B"/>
    <w:rsid w:val="00050057"/>
    <w:rsid w:val="0005363D"/>
    <w:rsid w:val="000537D2"/>
    <w:rsid w:val="00053F18"/>
    <w:rsid w:val="00054055"/>
    <w:rsid w:val="0005776B"/>
    <w:rsid w:val="0005782B"/>
    <w:rsid w:val="00060016"/>
    <w:rsid w:val="000626F0"/>
    <w:rsid w:val="00063643"/>
    <w:rsid w:val="000652F7"/>
    <w:rsid w:val="000663FA"/>
    <w:rsid w:val="00066A8B"/>
    <w:rsid w:val="00067457"/>
    <w:rsid w:val="0007100B"/>
    <w:rsid w:val="000719AF"/>
    <w:rsid w:val="000728C9"/>
    <w:rsid w:val="00073F52"/>
    <w:rsid w:val="00080A40"/>
    <w:rsid w:val="0008170B"/>
    <w:rsid w:val="00082023"/>
    <w:rsid w:val="00083354"/>
    <w:rsid w:val="00083CFC"/>
    <w:rsid w:val="000840C5"/>
    <w:rsid w:val="000857E9"/>
    <w:rsid w:val="00090164"/>
    <w:rsid w:val="0009153B"/>
    <w:rsid w:val="00095E83"/>
    <w:rsid w:val="0009611E"/>
    <w:rsid w:val="000A14DC"/>
    <w:rsid w:val="000A2D0C"/>
    <w:rsid w:val="000A3B6D"/>
    <w:rsid w:val="000A3DD4"/>
    <w:rsid w:val="000A5E31"/>
    <w:rsid w:val="000A6A13"/>
    <w:rsid w:val="000A6D54"/>
    <w:rsid w:val="000B0B23"/>
    <w:rsid w:val="000B0C66"/>
    <w:rsid w:val="000B2830"/>
    <w:rsid w:val="000B28E6"/>
    <w:rsid w:val="000B4D21"/>
    <w:rsid w:val="000B73C5"/>
    <w:rsid w:val="000C0D5A"/>
    <w:rsid w:val="000C334B"/>
    <w:rsid w:val="000C3C1D"/>
    <w:rsid w:val="000C7AC2"/>
    <w:rsid w:val="000D04AB"/>
    <w:rsid w:val="000D13AF"/>
    <w:rsid w:val="000D3E11"/>
    <w:rsid w:val="000D40D1"/>
    <w:rsid w:val="000D6FA5"/>
    <w:rsid w:val="000E148A"/>
    <w:rsid w:val="000E392F"/>
    <w:rsid w:val="000E4587"/>
    <w:rsid w:val="000E4A9C"/>
    <w:rsid w:val="000E758C"/>
    <w:rsid w:val="000E75C9"/>
    <w:rsid w:val="000F0027"/>
    <w:rsid w:val="000F114A"/>
    <w:rsid w:val="000F1D4D"/>
    <w:rsid w:val="000F22FF"/>
    <w:rsid w:val="000F2AE4"/>
    <w:rsid w:val="000F2C08"/>
    <w:rsid w:val="000F5328"/>
    <w:rsid w:val="000F61F0"/>
    <w:rsid w:val="000F66C9"/>
    <w:rsid w:val="000F6B39"/>
    <w:rsid w:val="00101CCE"/>
    <w:rsid w:val="0010409E"/>
    <w:rsid w:val="0010490B"/>
    <w:rsid w:val="00107EA5"/>
    <w:rsid w:val="00110478"/>
    <w:rsid w:val="00112827"/>
    <w:rsid w:val="00113896"/>
    <w:rsid w:val="00113C10"/>
    <w:rsid w:val="00114B32"/>
    <w:rsid w:val="00114D39"/>
    <w:rsid w:val="00115CA4"/>
    <w:rsid w:val="001176F1"/>
    <w:rsid w:val="00117716"/>
    <w:rsid w:val="0012093B"/>
    <w:rsid w:val="001217A3"/>
    <w:rsid w:val="001244CA"/>
    <w:rsid w:val="0012697D"/>
    <w:rsid w:val="00127902"/>
    <w:rsid w:val="00127AF4"/>
    <w:rsid w:val="00131303"/>
    <w:rsid w:val="001314AE"/>
    <w:rsid w:val="001315BF"/>
    <w:rsid w:val="001320DD"/>
    <w:rsid w:val="00132860"/>
    <w:rsid w:val="00133853"/>
    <w:rsid w:val="001343B0"/>
    <w:rsid w:val="00134992"/>
    <w:rsid w:val="00135D79"/>
    <w:rsid w:val="00136AA6"/>
    <w:rsid w:val="00136C29"/>
    <w:rsid w:val="00137944"/>
    <w:rsid w:val="00137BAA"/>
    <w:rsid w:val="00140050"/>
    <w:rsid w:val="001408A2"/>
    <w:rsid w:val="00141575"/>
    <w:rsid w:val="0014212F"/>
    <w:rsid w:val="001430F2"/>
    <w:rsid w:val="00143D54"/>
    <w:rsid w:val="00144B71"/>
    <w:rsid w:val="001453AD"/>
    <w:rsid w:val="00145502"/>
    <w:rsid w:val="00145561"/>
    <w:rsid w:val="0014571E"/>
    <w:rsid w:val="0014573D"/>
    <w:rsid w:val="00145FBA"/>
    <w:rsid w:val="00146EA2"/>
    <w:rsid w:val="00150002"/>
    <w:rsid w:val="00150531"/>
    <w:rsid w:val="001523E6"/>
    <w:rsid w:val="001531A9"/>
    <w:rsid w:val="001535D0"/>
    <w:rsid w:val="00153665"/>
    <w:rsid w:val="00161A02"/>
    <w:rsid w:val="00164CB2"/>
    <w:rsid w:val="00166D71"/>
    <w:rsid w:val="001710CD"/>
    <w:rsid w:val="0017116A"/>
    <w:rsid w:val="001733FE"/>
    <w:rsid w:val="00174521"/>
    <w:rsid w:val="001750DB"/>
    <w:rsid w:val="00175B4D"/>
    <w:rsid w:val="00177077"/>
    <w:rsid w:val="00177C13"/>
    <w:rsid w:val="00177DEA"/>
    <w:rsid w:val="0018100D"/>
    <w:rsid w:val="0018305D"/>
    <w:rsid w:val="00185372"/>
    <w:rsid w:val="001855B4"/>
    <w:rsid w:val="00186090"/>
    <w:rsid w:val="00186702"/>
    <w:rsid w:val="0018672C"/>
    <w:rsid w:val="00187C37"/>
    <w:rsid w:val="00187DDB"/>
    <w:rsid w:val="00190CDA"/>
    <w:rsid w:val="001920F8"/>
    <w:rsid w:val="00192AC2"/>
    <w:rsid w:val="00193189"/>
    <w:rsid w:val="001937F2"/>
    <w:rsid w:val="00193855"/>
    <w:rsid w:val="00193BD7"/>
    <w:rsid w:val="001957EB"/>
    <w:rsid w:val="00196E20"/>
    <w:rsid w:val="0019721C"/>
    <w:rsid w:val="00197A2E"/>
    <w:rsid w:val="001A11B6"/>
    <w:rsid w:val="001A1533"/>
    <w:rsid w:val="001A1F61"/>
    <w:rsid w:val="001A43B4"/>
    <w:rsid w:val="001A45DC"/>
    <w:rsid w:val="001A52C9"/>
    <w:rsid w:val="001A52DD"/>
    <w:rsid w:val="001A72B0"/>
    <w:rsid w:val="001B0325"/>
    <w:rsid w:val="001B143D"/>
    <w:rsid w:val="001B59F4"/>
    <w:rsid w:val="001C07AF"/>
    <w:rsid w:val="001C0BD8"/>
    <w:rsid w:val="001C2925"/>
    <w:rsid w:val="001C2BC0"/>
    <w:rsid w:val="001C3018"/>
    <w:rsid w:val="001C43B6"/>
    <w:rsid w:val="001C49C6"/>
    <w:rsid w:val="001C5F36"/>
    <w:rsid w:val="001C60EF"/>
    <w:rsid w:val="001C6773"/>
    <w:rsid w:val="001C6876"/>
    <w:rsid w:val="001C70B2"/>
    <w:rsid w:val="001C7D04"/>
    <w:rsid w:val="001D03B0"/>
    <w:rsid w:val="001D07A0"/>
    <w:rsid w:val="001D10DA"/>
    <w:rsid w:val="001D1299"/>
    <w:rsid w:val="001D150B"/>
    <w:rsid w:val="001D26E4"/>
    <w:rsid w:val="001D33BC"/>
    <w:rsid w:val="001D499A"/>
    <w:rsid w:val="001D745B"/>
    <w:rsid w:val="001E1907"/>
    <w:rsid w:val="001E1DB1"/>
    <w:rsid w:val="001E2388"/>
    <w:rsid w:val="001E44B6"/>
    <w:rsid w:val="001E48D8"/>
    <w:rsid w:val="001E6A7C"/>
    <w:rsid w:val="001E6F4A"/>
    <w:rsid w:val="001F2D00"/>
    <w:rsid w:val="001F34A3"/>
    <w:rsid w:val="001F4214"/>
    <w:rsid w:val="001F4E43"/>
    <w:rsid w:val="001F5E46"/>
    <w:rsid w:val="001F779C"/>
    <w:rsid w:val="001F7984"/>
    <w:rsid w:val="001F7B2E"/>
    <w:rsid w:val="00200613"/>
    <w:rsid w:val="002024D6"/>
    <w:rsid w:val="00203182"/>
    <w:rsid w:val="00203A4A"/>
    <w:rsid w:val="00204146"/>
    <w:rsid w:val="0020437E"/>
    <w:rsid w:val="002122AA"/>
    <w:rsid w:val="00212930"/>
    <w:rsid w:val="00213392"/>
    <w:rsid w:val="002134B0"/>
    <w:rsid w:val="00214171"/>
    <w:rsid w:val="002147C0"/>
    <w:rsid w:val="0021591F"/>
    <w:rsid w:val="00215A8B"/>
    <w:rsid w:val="00215FCC"/>
    <w:rsid w:val="00216784"/>
    <w:rsid w:val="00216F12"/>
    <w:rsid w:val="00220272"/>
    <w:rsid w:val="0022440D"/>
    <w:rsid w:val="0022472C"/>
    <w:rsid w:val="0022732E"/>
    <w:rsid w:val="002279B0"/>
    <w:rsid w:val="00230830"/>
    <w:rsid w:val="00230A71"/>
    <w:rsid w:val="00230B38"/>
    <w:rsid w:val="00232CA6"/>
    <w:rsid w:val="00233791"/>
    <w:rsid w:val="002340CC"/>
    <w:rsid w:val="00234141"/>
    <w:rsid w:val="00234253"/>
    <w:rsid w:val="0023430C"/>
    <w:rsid w:val="00235F1F"/>
    <w:rsid w:val="00236A00"/>
    <w:rsid w:val="002402D4"/>
    <w:rsid w:val="00241364"/>
    <w:rsid w:val="0024247B"/>
    <w:rsid w:val="002428BB"/>
    <w:rsid w:val="002430BD"/>
    <w:rsid w:val="00244809"/>
    <w:rsid w:val="00245043"/>
    <w:rsid w:val="00245426"/>
    <w:rsid w:val="002457C3"/>
    <w:rsid w:val="00246821"/>
    <w:rsid w:val="00252991"/>
    <w:rsid w:val="00252C7F"/>
    <w:rsid w:val="00253171"/>
    <w:rsid w:val="002546F1"/>
    <w:rsid w:val="00254EC8"/>
    <w:rsid w:val="00257B6D"/>
    <w:rsid w:val="002603F2"/>
    <w:rsid w:val="002609AD"/>
    <w:rsid w:val="00260C5C"/>
    <w:rsid w:val="00263F55"/>
    <w:rsid w:val="00265A9E"/>
    <w:rsid w:val="00266BA3"/>
    <w:rsid w:val="00267056"/>
    <w:rsid w:val="00270D3A"/>
    <w:rsid w:val="00270E14"/>
    <w:rsid w:val="00272FFE"/>
    <w:rsid w:val="00273B4F"/>
    <w:rsid w:val="00273B75"/>
    <w:rsid w:val="002740A7"/>
    <w:rsid w:val="002741BD"/>
    <w:rsid w:val="00275D59"/>
    <w:rsid w:val="002762F6"/>
    <w:rsid w:val="002770A0"/>
    <w:rsid w:val="00277FF1"/>
    <w:rsid w:val="0028125A"/>
    <w:rsid w:val="0028145A"/>
    <w:rsid w:val="002819C8"/>
    <w:rsid w:val="00281A60"/>
    <w:rsid w:val="00282582"/>
    <w:rsid w:val="00283697"/>
    <w:rsid w:val="00284C82"/>
    <w:rsid w:val="0029008E"/>
    <w:rsid w:val="00292670"/>
    <w:rsid w:val="0029274F"/>
    <w:rsid w:val="00293C45"/>
    <w:rsid w:val="0029703A"/>
    <w:rsid w:val="002974D7"/>
    <w:rsid w:val="002A0047"/>
    <w:rsid w:val="002A24EB"/>
    <w:rsid w:val="002A75EF"/>
    <w:rsid w:val="002A7CB9"/>
    <w:rsid w:val="002A7ED7"/>
    <w:rsid w:val="002B1CCC"/>
    <w:rsid w:val="002B1D7D"/>
    <w:rsid w:val="002B2C1C"/>
    <w:rsid w:val="002B4346"/>
    <w:rsid w:val="002B4677"/>
    <w:rsid w:val="002B575D"/>
    <w:rsid w:val="002B5A8F"/>
    <w:rsid w:val="002B752A"/>
    <w:rsid w:val="002B7771"/>
    <w:rsid w:val="002C0A89"/>
    <w:rsid w:val="002C1BAD"/>
    <w:rsid w:val="002C1F82"/>
    <w:rsid w:val="002C38E3"/>
    <w:rsid w:val="002C3E18"/>
    <w:rsid w:val="002C40AE"/>
    <w:rsid w:val="002C4272"/>
    <w:rsid w:val="002C4B35"/>
    <w:rsid w:val="002C646C"/>
    <w:rsid w:val="002C66FE"/>
    <w:rsid w:val="002C7295"/>
    <w:rsid w:val="002C77CB"/>
    <w:rsid w:val="002C78EC"/>
    <w:rsid w:val="002C7E48"/>
    <w:rsid w:val="002D1342"/>
    <w:rsid w:val="002D1696"/>
    <w:rsid w:val="002D1969"/>
    <w:rsid w:val="002D1F63"/>
    <w:rsid w:val="002D45C8"/>
    <w:rsid w:val="002D51B3"/>
    <w:rsid w:val="002D637E"/>
    <w:rsid w:val="002D6CFC"/>
    <w:rsid w:val="002D704C"/>
    <w:rsid w:val="002D78ED"/>
    <w:rsid w:val="002D7ED0"/>
    <w:rsid w:val="002E0809"/>
    <w:rsid w:val="002E1F7E"/>
    <w:rsid w:val="002E2A62"/>
    <w:rsid w:val="002E69BE"/>
    <w:rsid w:val="002E6EF9"/>
    <w:rsid w:val="002E72EA"/>
    <w:rsid w:val="002E780D"/>
    <w:rsid w:val="002F3B02"/>
    <w:rsid w:val="002F4271"/>
    <w:rsid w:val="00300663"/>
    <w:rsid w:val="0030158D"/>
    <w:rsid w:val="00301623"/>
    <w:rsid w:val="00302A12"/>
    <w:rsid w:val="00303A86"/>
    <w:rsid w:val="0030437A"/>
    <w:rsid w:val="00305310"/>
    <w:rsid w:val="00305E7F"/>
    <w:rsid w:val="00306118"/>
    <w:rsid w:val="00306E43"/>
    <w:rsid w:val="00307DD4"/>
    <w:rsid w:val="00310C77"/>
    <w:rsid w:val="00311C82"/>
    <w:rsid w:val="00312994"/>
    <w:rsid w:val="003130BF"/>
    <w:rsid w:val="003146F8"/>
    <w:rsid w:val="00314EA9"/>
    <w:rsid w:val="00315C27"/>
    <w:rsid w:val="003163EB"/>
    <w:rsid w:val="00316CE6"/>
    <w:rsid w:val="003171CF"/>
    <w:rsid w:val="00320C7B"/>
    <w:rsid w:val="00320CAA"/>
    <w:rsid w:val="00323122"/>
    <w:rsid w:val="00323654"/>
    <w:rsid w:val="00325598"/>
    <w:rsid w:val="00327004"/>
    <w:rsid w:val="00327242"/>
    <w:rsid w:val="00327DD0"/>
    <w:rsid w:val="00330DC8"/>
    <w:rsid w:val="003334C3"/>
    <w:rsid w:val="00334858"/>
    <w:rsid w:val="0033783B"/>
    <w:rsid w:val="00337DBF"/>
    <w:rsid w:val="003413DE"/>
    <w:rsid w:val="00342A65"/>
    <w:rsid w:val="00342C30"/>
    <w:rsid w:val="00342FC4"/>
    <w:rsid w:val="00343248"/>
    <w:rsid w:val="00343ED0"/>
    <w:rsid w:val="0034474B"/>
    <w:rsid w:val="00344A00"/>
    <w:rsid w:val="00347538"/>
    <w:rsid w:val="003521F5"/>
    <w:rsid w:val="00353DB2"/>
    <w:rsid w:val="0035705F"/>
    <w:rsid w:val="00361544"/>
    <w:rsid w:val="003624E2"/>
    <w:rsid w:val="003636AD"/>
    <w:rsid w:val="00364FD7"/>
    <w:rsid w:val="003707CC"/>
    <w:rsid w:val="003723EF"/>
    <w:rsid w:val="003727C7"/>
    <w:rsid w:val="003732CF"/>
    <w:rsid w:val="003742A0"/>
    <w:rsid w:val="003760C4"/>
    <w:rsid w:val="0037743B"/>
    <w:rsid w:val="0037784E"/>
    <w:rsid w:val="003813E6"/>
    <w:rsid w:val="00383735"/>
    <w:rsid w:val="003845C5"/>
    <w:rsid w:val="003846EE"/>
    <w:rsid w:val="003867C2"/>
    <w:rsid w:val="00386C80"/>
    <w:rsid w:val="00387B7C"/>
    <w:rsid w:val="00387DEF"/>
    <w:rsid w:val="003908D9"/>
    <w:rsid w:val="00390E88"/>
    <w:rsid w:val="003934D8"/>
    <w:rsid w:val="0039367C"/>
    <w:rsid w:val="003964F2"/>
    <w:rsid w:val="003A7385"/>
    <w:rsid w:val="003A79BB"/>
    <w:rsid w:val="003B13DF"/>
    <w:rsid w:val="003B18BF"/>
    <w:rsid w:val="003B31A5"/>
    <w:rsid w:val="003B36BF"/>
    <w:rsid w:val="003B6C9A"/>
    <w:rsid w:val="003C10A6"/>
    <w:rsid w:val="003C11A1"/>
    <w:rsid w:val="003C43E3"/>
    <w:rsid w:val="003C4AC3"/>
    <w:rsid w:val="003C754B"/>
    <w:rsid w:val="003D08F2"/>
    <w:rsid w:val="003D1681"/>
    <w:rsid w:val="003D2760"/>
    <w:rsid w:val="003D2814"/>
    <w:rsid w:val="003D3C07"/>
    <w:rsid w:val="003D4537"/>
    <w:rsid w:val="003E04ED"/>
    <w:rsid w:val="003E1070"/>
    <w:rsid w:val="003E186C"/>
    <w:rsid w:val="003E3DFD"/>
    <w:rsid w:val="003E4A40"/>
    <w:rsid w:val="003E4FE3"/>
    <w:rsid w:val="003E5E12"/>
    <w:rsid w:val="003F40DA"/>
    <w:rsid w:val="003F618A"/>
    <w:rsid w:val="003F732D"/>
    <w:rsid w:val="003F7459"/>
    <w:rsid w:val="003F7EA0"/>
    <w:rsid w:val="003F7FBA"/>
    <w:rsid w:val="0040027F"/>
    <w:rsid w:val="00400291"/>
    <w:rsid w:val="004006F8"/>
    <w:rsid w:val="00400934"/>
    <w:rsid w:val="00400AFF"/>
    <w:rsid w:val="00403206"/>
    <w:rsid w:val="00403ED3"/>
    <w:rsid w:val="00405173"/>
    <w:rsid w:val="00405B67"/>
    <w:rsid w:val="0040621C"/>
    <w:rsid w:val="00407772"/>
    <w:rsid w:val="0041167F"/>
    <w:rsid w:val="0041372D"/>
    <w:rsid w:val="00413BDE"/>
    <w:rsid w:val="00415158"/>
    <w:rsid w:val="00415998"/>
    <w:rsid w:val="0041646A"/>
    <w:rsid w:val="00417649"/>
    <w:rsid w:val="00420CC8"/>
    <w:rsid w:val="004217B6"/>
    <w:rsid w:val="00422DA1"/>
    <w:rsid w:val="00423BAA"/>
    <w:rsid w:val="00425B8E"/>
    <w:rsid w:val="00426AB6"/>
    <w:rsid w:val="00432018"/>
    <w:rsid w:val="00434E66"/>
    <w:rsid w:val="00437546"/>
    <w:rsid w:val="00437FEB"/>
    <w:rsid w:val="0044100E"/>
    <w:rsid w:val="00443C49"/>
    <w:rsid w:val="00444B36"/>
    <w:rsid w:val="004460FF"/>
    <w:rsid w:val="0045162F"/>
    <w:rsid w:val="00453C8C"/>
    <w:rsid w:val="00454262"/>
    <w:rsid w:val="004604EC"/>
    <w:rsid w:val="00460F70"/>
    <w:rsid w:val="00461235"/>
    <w:rsid w:val="00463736"/>
    <w:rsid w:val="00463E15"/>
    <w:rsid w:val="004641BD"/>
    <w:rsid w:val="00467014"/>
    <w:rsid w:val="00467431"/>
    <w:rsid w:val="004707E2"/>
    <w:rsid w:val="0047146E"/>
    <w:rsid w:val="00472275"/>
    <w:rsid w:val="00472333"/>
    <w:rsid w:val="00473BA7"/>
    <w:rsid w:val="00473ED7"/>
    <w:rsid w:val="0047442C"/>
    <w:rsid w:val="00474830"/>
    <w:rsid w:val="00474D68"/>
    <w:rsid w:val="00475126"/>
    <w:rsid w:val="00475C76"/>
    <w:rsid w:val="00477493"/>
    <w:rsid w:val="004775A3"/>
    <w:rsid w:val="00477A0B"/>
    <w:rsid w:val="0048053F"/>
    <w:rsid w:val="00480F13"/>
    <w:rsid w:val="00481A96"/>
    <w:rsid w:val="004828B3"/>
    <w:rsid w:val="0048315A"/>
    <w:rsid w:val="004864E1"/>
    <w:rsid w:val="00486D5A"/>
    <w:rsid w:val="0048755A"/>
    <w:rsid w:val="00490643"/>
    <w:rsid w:val="004908C7"/>
    <w:rsid w:val="00491D33"/>
    <w:rsid w:val="00492973"/>
    <w:rsid w:val="00493CF1"/>
    <w:rsid w:val="00493F74"/>
    <w:rsid w:val="00494100"/>
    <w:rsid w:val="004946F1"/>
    <w:rsid w:val="00495508"/>
    <w:rsid w:val="004959BB"/>
    <w:rsid w:val="00495DD9"/>
    <w:rsid w:val="00496203"/>
    <w:rsid w:val="004974CE"/>
    <w:rsid w:val="004A019D"/>
    <w:rsid w:val="004A03C5"/>
    <w:rsid w:val="004A0415"/>
    <w:rsid w:val="004A438B"/>
    <w:rsid w:val="004A453C"/>
    <w:rsid w:val="004A6B3D"/>
    <w:rsid w:val="004A7221"/>
    <w:rsid w:val="004A738C"/>
    <w:rsid w:val="004A7798"/>
    <w:rsid w:val="004B0B53"/>
    <w:rsid w:val="004B424E"/>
    <w:rsid w:val="004C1357"/>
    <w:rsid w:val="004C231D"/>
    <w:rsid w:val="004C255D"/>
    <w:rsid w:val="004C42D8"/>
    <w:rsid w:val="004C4813"/>
    <w:rsid w:val="004C4865"/>
    <w:rsid w:val="004C6A8F"/>
    <w:rsid w:val="004C7AD5"/>
    <w:rsid w:val="004D0AC3"/>
    <w:rsid w:val="004D0F29"/>
    <w:rsid w:val="004D1548"/>
    <w:rsid w:val="004D4675"/>
    <w:rsid w:val="004D4A35"/>
    <w:rsid w:val="004D511E"/>
    <w:rsid w:val="004D65DF"/>
    <w:rsid w:val="004D74B4"/>
    <w:rsid w:val="004D7826"/>
    <w:rsid w:val="004D7EE9"/>
    <w:rsid w:val="004E0F82"/>
    <w:rsid w:val="004E1B08"/>
    <w:rsid w:val="004E43B0"/>
    <w:rsid w:val="004E58A6"/>
    <w:rsid w:val="004E7F31"/>
    <w:rsid w:val="004F0FB3"/>
    <w:rsid w:val="004F2446"/>
    <w:rsid w:val="004F2A79"/>
    <w:rsid w:val="004F45B1"/>
    <w:rsid w:val="004F5C53"/>
    <w:rsid w:val="004F6942"/>
    <w:rsid w:val="004F6E2F"/>
    <w:rsid w:val="00503E92"/>
    <w:rsid w:val="005056EB"/>
    <w:rsid w:val="0050705B"/>
    <w:rsid w:val="0050790B"/>
    <w:rsid w:val="00510C96"/>
    <w:rsid w:val="00511F94"/>
    <w:rsid w:val="00512148"/>
    <w:rsid w:val="00512B79"/>
    <w:rsid w:val="005137B7"/>
    <w:rsid w:val="00516141"/>
    <w:rsid w:val="00517F7D"/>
    <w:rsid w:val="00521201"/>
    <w:rsid w:val="0052151B"/>
    <w:rsid w:val="005223E2"/>
    <w:rsid w:val="005269D3"/>
    <w:rsid w:val="00532451"/>
    <w:rsid w:val="00532CF0"/>
    <w:rsid w:val="00534783"/>
    <w:rsid w:val="005354C0"/>
    <w:rsid w:val="00536684"/>
    <w:rsid w:val="00537728"/>
    <w:rsid w:val="00542152"/>
    <w:rsid w:val="00542F08"/>
    <w:rsid w:val="0054315A"/>
    <w:rsid w:val="0054374D"/>
    <w:rsid w:val="005440C0"/>
    <w:rsid w:val="005453AF"/>
    <w:rsid w:val="00545B30"/>
    <w:rsid w:val="00545F63"/>
    <w:rsid w:val="005461EC"/>
    <w:rsid w:val="00546984"/>
    <w:rsid w:val="00546FFF"/>
    <w:rsid w:val="00547E8E"/>
    <w:rsid w:val="0055004B"/>
    <w:rsid w:val="0055056D"/>
    <w:rsid w:val="00550A23"/>
    <w:rsid w:val="00550A4B"/>
    <w:rsid w:val="00550FEA"/>
    <w:rsid w:val="00551D76"/>
    <w:rsid w:val="005522BE"/>
    <w:rsid w:val="005522CA"/>
    <w:rsid w:val="00555AFC"/>
    <w:rsid w:val="0055609F"/>
    <w:rsid w:val="00556737"/>
    <w:rsid w:val="00556934"/>
    <w:rsid w:val="00556EBF"/>
    <w:rsid w:val="005609C5"/>
    <w:rsid w:val="00560DBB"/>
    <w:rsid w:val="00561DFC"/>
    <w:rsid w:val="005629AC"/>
    <w:rsid w:val="0056313A"/>
    <w:rsid w:val="00563542"/>
    <w:rsid w:val="00566B7C"/>
    <w:rsid w:val="00566B7F"/>
    <w:rsid w:val="00570BCD"/>
    <w:rsid w:val="00572772"/>
    <w:rsid w:val="00572D85"/>
    <w:rsid w:val="005737F7"/>
    <w:rsid w:val="00573C2D"/>
    <w:rsid w:val="00573EEA"/>
    <w:rsid w:val="00574955"/>
    <w:rsid w:val="005756F4"/>
    <w:rsid w:val="00576DAB"/>
    <w:rsid w:val="00582989"/>
    <w:rsid w:val="00583F66"/>
    <w:rsid w:val="00585EF5"/>
    <w:rsid w:val="005876E7"/>
    <w:rsid w:val="00591D95"/>
    <w:rsid w:val="00593748"/>
    <w:rsid w:val="0059590D"/>
    <w:rsid w:val="005959FD"/>
    <w:rsid w:val="00595F0B"/>
    <w:rsid w:val="005964DE"/>
    <w:rsid w:val="005A028F"/>
    <w:rsid w:val="005A0E97"/>
    <w:rsid w:val="005A0EAB"/>
    <w:rsid w:val="005A19DC"/>
    <w:rsid w:val="005A4F06"/>
    <w:rsid w:val="005B0062"/>
    <w:rsid w:val="005B11AA"/>
    <w:rsid w:val="005B3E9A"/>
    <w:rsid w:val="005B4302"/>
    <w:rsid w:val="005B4FBF"/>
    <w:rsid w:val="005B76A9"/>
    <w:rsid w:val="005B7BA2"/>
    <w:rsid w:val="005B7C15"/>
    <w:rsid w:val="005C04C0"/>
    <w:rsid w:val="005C077A"/>
    <w:rsid w:val="005C0E4D"/>
    <w:rsid w:val="005C4C2B"/>
    <w:rsid w:val="005C569E"/>
    <w:rsid w:val="005C593D"/>
    <w:rsid w:val="005C5D9E"/>
    <w:rsid w:val="005C6417"/>
    <w:rsid w:val="005C68F9"/>
    <w:rsid w:val="005C72F6"/>
    <w:rsid w:val="005D0215"/>
    <w:rsid w:val="005D15E5"/>
    <w:rsid w:val="005D2004"/>
    <w:rsid w:val="005D2840"/>
    <w:rsid w:val="005D5C8F"/>
    <w:rsid w:val="005D7A22"/>
    <w:rsid w:val="005E07F5"/>
    <w:rsid w:val="005E0FAA"/>
    <w:rsid w:val="005E391C"/>
    <w:rsid w:val="005E3A8C"/>
    <w:rsid w:val="005E4697"/>
    <w:rsid w:val="005E690E"/>
    <w:rsid w:val="005E71F7"/>
    <w:rsid w:val="005F2149"/>
    <w:rsid w:val="005F476A"/>
    <w:rsid w:val="005F626E"/>
    <w:rsid w:val="005F7AB9"/>
    <w:rsid w:val="00600629"/>
    <w:rsid w:val="006009F9"/>
    <w:rsid w:val="00601502"/>
    <w:rsid w:val="00601842"/>
    <w:rsid w:val="00603C1E"/>
    <w:rsid w:val="00604165"/>
    <w:rsid w:val="0060626A"/>
    <w:rsid w:val="00606621"/>
    <w:rsid w:val="0060740D"/>
    <w:rsid w:val="006115E4"/>
    <w:rsid w:val="006120CE"/>
    <w:rsid w:val="006137EB"/>
    <w:rsid w:val="00614CF7"/>
    <w:rsid w:val="00616244"/>
    <w:rsid w:val="00622503"/>
    <w:rsid w:val="006228F2"/>
    <w:rsid w:val="00624CAA"/>
    <w:rsid w:val="00625A5A"/>
    <w:rsid w:val="00625B78"/>
    <w:rsid w:val="00626EF8"/>
    <w:rsid w:val="0063061C"/>
    <w:rsid w:val="00630E9A"/>
    <w:rsid w:val="00632271"/>
    <w:rsid w:val="00633B56"/>
    <w:rsid w:val="006347B1"/>
    <w:rsid w:val="00634F33"/>
    <w:rsid w:val="0063518A"/>
    <w:rsid w:val="006354D9"/>
    <w:rsid w:val="006359D6"/>
    <w:rsid w:val="00635A5A"/>
    <w:rsid w:val="00635D2C"/>
    <w:rsid w:val="006366CA"/>
    <w:rsid w:val="00643BA6"/>
    <w:rsid w:val="00643F22"/>
    <w:rsid w:val="00644593"/>
    <w:rsid w:val="00644DB9"/>
    <w:rsid w:val="00646A8B"/>
    <w:rsid w:val="00653608"/>
    <w:rsid w:val="00655083"/>
    <w:rsid w:val="0065674E"/>
    <w:rsid w:val="00656FDA"/>
    <w:rsid w:val="00660232"/>
    <w:rsid w:val="006604C7"/>
    <w:rsid w:val="00663126"/>
    <w:rsid w:val="00663636"/>
    <w:rsid w:val="0066748B"/>
    <w:rsid w:val="00671AAB"/>
    <w:rsid w:val="00673A12"/>
    <w:rsid w:val="00674190"/>
    <w:rsid w:val="006743FD"/>
    <w:rsid w:val="00674855"/>
    <w:rsid w:val="00674ABE"/>
    <w:rsid w:val="006760E5"/>
    <w:rsid w:val="00676FE6"/>
    <w:rsid w:val="006772F8"/>
    <w:rsid w:val="006803FB"/>
    <w:rsid w:val="00680A82"/>
    <w:rsid w:val="00681A1C"/>
    <w:rsid w:val="00684BAC"/>
    <w:rsid w:val="00685556"/>
    <w:rsid w:val="00687AC1"/>
    <w:rsid w:val="006910EE"/>
    <w:rsid w:val="006913C2"/>
    <w:rsid w:val="006922CF"/>
    <w:rsid w:val="00694515"/>
    <w:rsid w:val="006947DB"/>
    <w:rsid w:val="006949B5"/>
    <w:rsid w:val="00696D76"/>
    <w:rsid w:val="006977A6"/>
    <w:rsid w:val="00697875"/>
    <w:rsid w:val="006A1681"/>
    <w:rsid w:val="006A1D08"/>
    <w:rsid w:val="006A208B"/>
    <w:rsid w:val="006A25D1"/>
    <w:rsid w:val="006A2950"/>
    <w:rsid w:val="006A3705"/>
    <w:rsid w:val="006A5D0E"/>
    <w:rsid w:val="006A60FC"/>
    <w:rsid w:val="006A6EAA"/>
    <w:rsid w:val="006A73C0"/>
    <w:rsid w:val="006B0261"/>
    <w:rsid w:val="006B0ED0"/>
    <w:rsid w:val="006B140F"/>
    <w:rsid w:val="006B273F"/>
    <w:rsid w:val="006B3160"/>
    <w:rsid w:val="006B3705"/>
    <w:rsid w:val="006B4663"/>
    <w:rsid w:val="006B4DED"/>
    <w:rsid w:val="006B4EA6"/>
    <w:rsid w:val="006B4F45"/>
    <w:rsid w:val="006B6036"/>
    <w:rsid w:val="006C0F38"/>
    <w:rsid w:val="006C22EC"/>
    <w:rsid w:val="006C2582"/>
    <w:rsid w:val="006C2F0A"/>
    <w:rsid w:val="006C3AE4"/>
    <w:rsid w:val="006C40D1"/>
    <w:rsid w:val="006C4218"/>
    <w:rsid w:val="006C4E65"/>
    <w:rsid w:val="006C4F04"/>
    <w:rsid w:val="006C72A2"/>
    <w:rsid w:val="006C78A3"/>
    <w:rsid w:val="006D002D"/>
    <w:rsid w:val="006D0366"/>
    <w:rsid w:val="006D2CD1"/>
    <w:rsid w:val="006D2E08"/>
    <w:rsid w:val="006D3975"/>
    <w:rsid w:val="006D72FD"/>
    <w:rsid w:val="006D7C0A"/>
    <w:rsid w:val="006E0A6A"/>
    <w:rsid w:val="006E10C1"/>
    <w:rsid w:val="006E1490"/>
    <w:rsid w:val="006E4F1E"/>
    <w:rsid w:val="006E5116"/>
    <w:rsid w:val="006F3E73"/>
    <w:rsid w:val="006F4AE2"/>
    <w:rsid w:val="006F6670"/>
    <w:rsid w:val="00700011"/>
    <w:rsid w:val="00700796"/>
    <w:rsid w:val="00701E96"/>
    <w:rsid w:val="007024FC"/>
    <w:rsid w:val="00703825"/>
    <w:rsid w:val="00704846"/>
    <w:rsid w:val="00705D32"/>
    <w:rsid w:val="0071120A"/>
    <w:rsid w:val="00711D27"/>
    <w:rsid w:val="00712222"/>
    <w:rsid w:val="007123E3"/>
    <w:rsid w:val="00712AF7"/>
    <w:rsid w:val="00712E4D"/>
    <w:rsid w:val="0071362B"/>
    <w:rsid w:val="00717043"/>
    <w:rsid w:val="007178E6"/>
    <w:rsid w:val="007231B6"/>
    <w:rsid w:val="007234EF"/>
    <w:rsid w:val="007236AF"/>
    <w:rsid w:val="00723A16"/>
    <w:rsid w:val="00723CB7"/>
    <w:rsid w:val="00724066"/>
    <w:rsid w:val="0072554E"/>
    <w:rsid w:val="0072559F"/>
    <w:rsid w:val="00725883"/>
    <w:rsid w:val="007318FE"/>
    <w:rsid w:val="00732650"/>
    <w:rsid w:val="0073521B"/>
    <w:rsid w:val="00737061"/>
    <w:rsid w:val="00740DC1"/>
    <w:rsid w:val="007422B0"/>
    <w:rsid w:val="00743F60"/>
    <w:rsid w:val="0074598D"/>
    <w:rsid w:val="0074599F"/>
    <w:rsid w:val="00746042"/>
    <w:rsid w:val="00746F17"/>
    <w:rsid w:val="00752BBC"/>
    <w:rsid w:val="007545F9"/>
    <w:rsid w:val="00754A06"/>
    <w:rsid w:val="007570F6"/>
    <w:rsid w:val="007577F1"/>
    <w:rsid w:val="00757D02"/>
    <w:rsid w:val="00760E09"/>
    <w:rsid w:val="007617FE"/>
    <w:rsid w:val="007630BE"/>
    <w:rsid w:val="00763B21"/>
    <w:rsid w:val="00764F90"/>
    <w:rsid w:val="00766D63"/>
    <w:rsid w:val="0076789C"/>
    <w:rsid w:val="00770E82"/>
    <w:rsid w:val="00772011"/>
    <w:rsid w:val="00773C8E"/>
    <w:rsid w:val="0077426B"/>
    <w:rsid w:val="007743C5"/>
    <w:rsid w:val="00775043"/>
    <w:rsid w:val="007752B1"/>
    <w:rsid w:val="007753C4"/>
    <w:rsid w:val="00775B25"/>
    <w:rsid w:val="00776618"/>
    <w:rsid w:val="007769E5"/>
    <w:rsid w:val="007774CA"/>
    <w:rsid w:val="00780341"/>
    <w:rsid w:val="0078040F"/>
    <w:rsid w:val="00781E9F"/>
    <w:rsid w:val="007824FF"/>
    <w:rsid w:val="00782D9E"/>
    <w:rsid w:val="0078584D"/>
    <w:rsid w:val="00785A24"/>
    <w:rsid w:val="00785EB9"/>
    <w:rsid w:val="007866B2"/>
    <w:rsid w:val="007905F8"/>
    <w:rsid w:val="00790710"/>
    <w:rsid w:val="00793599"/>
    <w:rsid w:val="007935AD"/>
    <w:rsid w:val="007939B0"/>
    <w:rsid w:val="007A12B7"/>
    <w:rsid w:val="007A173C"/>
    <w:rsid w:val="007A2F38"/>
    <w:rsid w:val="007A3C07"/>
    <w:rsid w:val="007A4177"/>
    <w:rsid w:val="007A6D86"/>
    <w:rsid w:val="007B1B64"/>
    <w:rsid w:val="007B1C91"/>
    <w:rsid w:val="007B276B"/>
    <w:rsid w:val="007B302E"/>
    <w:rsid w:val="007B3656"/>
    <w:rsid w:val="007B40B2"/>
    <w:rsid w:val="007B7681"/>
    <w:rsid w:val="007C09EC"/>
    <w:rsid w:val="007C1A10"/>
    <w:rsid w:val="007C1FE6"/>
    <w:rsid w:val="007C2A40"/>
    <w:rsid w:val="007C3084"/>
    <w:rsid w:val="007C3827"/>
    <w:rsid w:val="007C3D61"/>
    <w:rsid w:val="007C5A0A"/>
    <w:rsid w:val="007C5DC6"/>
    <w:rsid w:val="007C6447"/>
    <w:rsid w:val="007D1268"/>
    <w:rsid w:val="007D3CAA"/>
    <w:rsid w:val="007D5C05"/>
    <w:rsid w:val="007D5DDE"/>
    <w:rsid w:val="007D60D8"/>
    <w:rsid w:val="007D6F74"/>
    <w:rsid w:val="007D7CA7"/>
    <w:rsid w:val="007E0ABB"/>
    <w:rsid w:val="007E0F3D"/>
    <w:rsid w:val="007E0FC1"/>
    <w:rsid w:val="007E194D"/>
    <w:rsid w:val="007E1A39"/>
    <w:rsid w:val="007E1F1A"/>
    <w:rsid w:val="007E3CB5"/>
    <w:rsid w:val="007E4BD6"/>
    <w:rsid w:val="007E4BF8"/>
    <w:rsid w:val="007E4C95"/>
    <w:rsid w:val="007E53D9"/>
    <w:rsid w:val="007E7FF2"/>
    <w:rsid w:val="007F0337"/>
    <w:rsid w:val="007F3444"/>
    <w:rsid w:val="007F4090"/>
    <w:rsid w:val="007F41D6"/>
    <w:rsid w:val="007F47E6"/>
    <w:rsid w:val="007F4887"/>
    <w:rsid w:val="007F5E40"/>
    <w:rsid w:val="007F6341"/>
    <w:rsid w:val="007F73C2"/>
    <w:rsid w:val="007F76CD"/>
    <w:rsid w:val="007F7FEE"/>
    <w:rsid w:val="0080040C"/>
    <w:rsid w:val="00800A95"/>
    <w:rsid w:val="00801711"/>
    <w:rsid w:val="00802718"/>
    <w:rsid w:val="0080324C"/>
    <w:rsid w:val="00803F1F"/>
    <w:rsid w:val="00804996"/>
    <w:rsid w:val="00805278"/>
    <w:rsid w:val="00812BA4"/>
    <w:rsid w:val="00813606"/>
    <w:rsid w:val="0081688E"/>
    <w:rsid w:val="0082068C"/>
    <w:rsid w:val="008212D4"/>
    <w:rsid w:val="00822027"/>
    <w:rsid w:val="00822364"/>
    <w:rsid w:val="008228BC"/>
    <w:rsid w:val="00824D22"/>
    <w:rsid w:val="00831688"/>
    <w:rsid w:val="0083243A"/>
    <w:rsid w:val="00832A01"/>
    <w:rsid w:val="00834397"/>
    <w:rsid w:val="00834477"/>
    <w:rsid w:val="008427C4"/>
    <w:rsid w:val="00844E47"/>
    <w:rsid w:val="00850EB7"/>
    <w:rsid w:val="008518E3"/>
    <w:rsid w:val="00851E3D"/>
    <w:rsid w:val="00854622"/>
    <w:rsid w:val="00854BE1"/>
    <w:rsid w:val="00855CC9"/>
    <w:rsid w:val="00857575"/>
    <w:rsid w:val="00857A63"/>
    <w:rsid w:val="00857E4E"/>
    <w:rsid w:val="00860875"/>
    <w:rsid w:val="00860AA6"/>
    <w:rsid w:val="00865326"/>
    <w:rsid w:val="0086558D"/>
    <w:rsid w:val="00866E69"/>
    <w:rsid w:val="00870C34"/>
    <w:rsid w:val="008723CB"/>
    <w:rsid w:val="008727C8"/>
    <w:rsid w:val="008741BE"/>
    <w:rsid w:val="00877344"/>
    <w:rsid w:val="00877AF3"/>
    <w:rsid w:val="00880456"/>
    <w:rsid w:val="00882818"/>
    <w:rsid w:val="0088323B"/>
    <w:rsid w:val="00883F2D"/>
    <w:rsid w:val="00886937"/>
    <w:rsid w:val="00890ADA"/>
    <w:rsid w:val="008916E4"/>
    <w:rsid w:val="00891E9E"/>
    <w:rsid w:val="00892B17"/>
    <w:rsid w:val="008930A0"/>
    <w:rsid w:val="0089505B"/>
    <w:rsid w:val="008952D6"/>
    <w:rsid w:val="00896800"/>
    <w:rsid w:val="008976C3"/>
    <w:rsid w:val="008A19FD"/>
    <w:rsid w:val="008A47D0"/>
    <w:rsid w:val="008A688C"/>
    <w:rsid w:val="008A69DE"/>
    <w:rsid w:val="008B07B9"/>
    <w:rsid w:val="008B119C"/>
    <w:rsid w:val="008B395D"/>
    <w:rsid w:val="008B4042"/>
    <w:rsid w:val="008B4844"/>
    <w:rsid w:val="008B4AB4"/>
    <w:rsid w:val="008B5278"/>
    <w:rsid w:val="008B5F5A"/>
    <w:rsid w:val="008B6A05"/>
    <w:rsid w:val="008B7E83"/>
    <w:rsid w:val="008C01E1"/>
    <w:rsid w:val="008C1DE7"/>
    <w:rsid w:val="008C2E13"/>
    <w:rsid w:val="008C3E42"/>
    <w:rsid w:val="008C6B05"/>
    <w:rsid w:val="008D004E"/>
    <w:rsid w:val="008D1456"/>
    <w:rsid w:val="008D3556"/>
    <w:rsid w:val="008D42D4"/>
    <w:rsid w:val="008D4CA8"/>
    <w:rsid w:val="008E0C55"/>
    <w:rsid w:val="008E1AE1"/>
    <w:rsid w:val="008E2745"/>
    <w:rsid w:val="008E2761"/>
    <w:rsid w:val="008E39F1"/>
    <w:rsid w:val="008E5CD3"/>
    <w:rsid w:val="008E6180"/>
    <w:rsid w:val="008F157F"/>
    <w:rsid w:val="00900EAE"/>
    <w:rsid w:val="00900FC9"/>
    <w:rsid w:val="00901BD9"/>
    <w:rsid w:val="00901F2D"/>
    <w:rsid w:val="009022EC"/>
    <w:rsid w:val="009029AA"/>
    <w:rsid w:val="009039B7"/>
    <w:rsid w:val="00904014"/>
    <w:rsid w:val="009052D1"/>
    <w:rsid w:val="00906BFE"/>
    <w:rsid w:val="00906DB8"/>
    <w:rsid w:val="00906F61"/>
    <w:rsid w:val="00907041"/>
    <w:rsid w:val="0090796B"/>
    <w:rsid w:val="009104FB"/>
    <w:rsid w:val="0091063E"/>
    <w:rsid w:val="009136D1"/>
    <w:rsid w:val="009143F8"/>
    <w:rsid w:val="00914420"/>
    <w:rsid w:val="009158DD"/>
    <w:rsid w:val="00916C4C"/>
    <w:rsid w:val="00917A71"/>
    <w:rsid w:val="00917C0C"/>
    <w:rsid w:val="00920E61"/>
    <w:rsid w:val="00922B38"/>
    <w:rsid w:val="00923CA3"/>
    <w:rsid w:val="00926893"/>
    <w:rsid w:val="0093212D"/>
    <w:rsid w:val="009336A8"/>
    <w:rsid w:val="00935FEE"/>
    <w:rsid w:val="0093783B"/>
    <w:rsid w:val="00940615"/>
    <w:rsid w:val="00943105"/>
    <w:rsid w:val="00943340"/>
    <w:rsid w:val="00944D6C"/>
    <w:rsid w:val="0095040D"/>
    <w:rsid w:val="00950581"/>
    <w:rsid w:val="0095089B"/>
    <w:rsid w:val="009508E5"/>
    <w:rsid w:val="00950AE6"/>
    <w:rsid w:val="009536A0"/>
    <w:rsid w:val="00955C4B"/>
    <w:rsid w:val="00957E9E"/>
    <w:rsid w:val="00957FA7"/>
    <w:rsid w:val="00960431"/>
    <w:rsid w:val="00962654"/>
    <w:rsid w:val="00962F03"/>
    <w:rsid w:val="009635A2"/>
    <w:rsid w:val="0097276F"/>
    <w:rsid w:val="00972B49"/>
    <w:rsid w:val="00974389"/>
    <w:rsid w:val="0097459C"/>
    <w:rsid w:val="00974FF4"/>
    <w:rsid w:val="009758C4"/>
    <w:rsid w:val="00976A14"/>
    <w:rsid w:val="00977BA8"/>
    <w:rsid w:val="0098067F"/>
    <w:rsid w:val="0098103A"/>
    <w:rsid w:val="009828DC"/>
    <w:rsid w:val="00984672"/>
    <w:rsid w:val="009853DD"/>
    <w:rsid w:val="0098549D"/>
    <w:rsid w:val="0098555D"/>
    <w:rsid w:val="00986F6B"/>
    <w:rsid w:val="0098775F"/>
    <w:rsid w:val="00987D0D"/>
    <w:rsid w:val="0099241A"/>
    <w:rsid w:val="00993F2D"/>
    <w:rsid w:val="00996449"/>
    <w:rsid w:val="00997BE7"/>
    <w:rsid w:val="00997BF8"/>
    <w:rsid w:val="009A2448"/>
    <w:rsid w:val="009A2B87"/>
    <w:rsid w:val="009A5C6A"/>
    <w:rsid w:val="009A5CB1"/>
    <w:rsid w:val="009B0939"/>
    <w:rsid w:val="009B263D"/>
    <w:rsid w:val="009B5A79"/>
    <w:rsid w:val="009B7EEB"/>
    <w:rsid w:val="009B7FC2"/>
    <w:rsid w:val="009C113E"/>
    <w:rsid w:val="009C1601"/>
    <w:rsid w:val="009C1B3D"/>
    <w:rsid w:val="009C1CC2"/>
    <w:rsid w:val="009C415B"/>
    <w:rsid w:val="009C590C"/>
    <w:rsid w:val="009D0198"/>
    <w:rsid w:val="009D2586"/>
    <w:rsid w:val="009D25EB"/>
    <w:rsid w:val="009D3327"/>
    <w:rsid w:val="009D4A0D"/>
    <w:rsid w:val="009D5096"/>
    <w:rsid w:val="009D7895"/>
    <w:rsid w:val="009E228B"/>
    <w:rsid w:val="009E27B7"/>
    <w:rsid w:val="009E28CA"/>
    <w:rsid w:val="009E3C08"/>
    <w:rsid w:val="009E57C9"/>
    <w:rsid w:val="009E5B1B"/>
    <w:rsid w:val="009E66A1"/>
    <w:rsid w:val="009E6ED7"/>
    <w:rsid w:val="009E6FE0"/>
    <w:rsid w:val="009F0463"/>
    <w:rsid w:val="009F0E63"/>
    <w:rsid w:val="009F1D77"/>
    <w:rsid w:val="009F29EA"/>
    <w:rsid w:val="009F45B3"/>
    <w:rsid w:val="009F5A8F"/>
    <w:rsid w:val="009F5EAF"/>
    <w:rsid w:val="009F67A4"/>
    <w:rsid w:val="009F6B65"/>
    <w:rsid w:val="009F7655"/>
    <w:rsid w:val="009F7E30"/>
    <w:rsid w:val="00A0089E"/>
    <w:rsid w:val="00A00EAE"/>
    <w:rsid w:val="00A01FD2"/>
    <w:rsid w:val="00A02D2F"/>
    <w:rsid w:val="00A033B7"/>
    <w:rsid w:val="00A03D7F"/>
    <w:rsid w:val="00A04433"/>
    <w:rsid w:val="00A0637A"/>
    <w:rsid w:val="00A10B0D"/>
    <w:rsid w:val="00A10D47"/>
    <w:rsid w:val="00A12F95"/>
    <w:rsid w:val="00A147CD"/>
    <w:rsid w:val="00A15879"/>
    <w:rsid w:val="00A20F51"/>
    <w:rsid w:val="00A22AB9"/>
    <w:rsid w:val="00A24314"/>
    <w:rsid w:val="00A25E16"/>
    <w:rsid w:val="00A262DA"/>
    <w:rsid w:val="00A26FC4"/>
    <w:rsid w:val="00A3005D"/>
    <w:rsid w:val="00A315D3"/>
    <w:rsid w:val="00A31887"/>
    <w:rsid w:val="00A32CCF"/>
    <w:rsid w:val="00A3396D"/>
    <w:rsid w:val="00A34EE8"/>
    <w:rsid w:val="00A375D1"/>
    <w:rsid w:val="00A40BB9"/>
    <w:rsid w:val="00A51050"/>
    <w:rsid w:val="00A512D3"/>
    <w:rsid w:val="00A52620"/>
    <w:rsid w:val="00A52EC1"/>
    <w:rsid w:val="00A5446A"/>
    <w:rsid w:val="00A563D1"/>
    <w:rsid w:val="00A5663A"/>
    <w:rsid w:val="00A56C0A"/>
    <w:rsid w:val="00A5722F"/>
    <w:rsid w:val="00A57CA6"/>
    <w:rsid w:val="00A608EB"/>
    <w:rsid w:val="00A609EC"/>
    <w:rsid w:val="00A62422"/>
    <w:rsid w:val="00A631AE"/>
    <w:rsid w:val="00A632ED"/>
    <w:rsid w:val="00A64B70"/>
    <w:rsid w:val="00A64FC5"/>
    <w:rsid w:val="00A65E89"/>
    <w:rsid w:val="00A6648D"/>
    <w:rsid w:val="00A67A2F"/>
    <w:rsid w:val="00A70D4A"/>
    <w:rsid w:val="00A73A1E"/>
    <w:rsid w:val="00A74F9C"/>
    <w:rsid w:val="00A75124"/>
    <w:rsid w:val="00A77BD6"/>
    <w:rsid w:val="00A816DD"/>
    <w:rsid w:val="00A82573"/>
    <w:rsid w:val="00A82DE6"/>
    <w:rsid w:val="00A83941"/>
    <w:rsid w:val="00A84CC5"/>
    <w:rsid w:val="00A85367"/>
    <w:rsid w:val="00A85555"/>
    <w:rsid w:val="00A867E2"/>
    <w:rsid w:val="00A86B30"/>
    <w:rsid w:val="00A87D6A"/>
    <w:rsid w:val="00A902A8"/>
    <w:rsid w:val="00A9157F"/>
    <w:rsid w:val="00A91C87"/>
    <w:rsid w:val="00A91F0D"/>
    <w:rsid w:val="00A9311D"/>
    <w:rsid w:val="00A93125"/>
    <w:rsid w:val="00A957C4"/>
    <w:rsid w:val="00AA045B"/>
    <w:rsid w:val="00AA1F91"/>
    <w:rsid w:val="00AA23FC"/>
    <w:rsid w:val="00AA3280"/>
    <w:rsid w:val="00AA5933"/>
    <w:rsid w:val="00AA5CEB"/>
    <w:rsid w:val="00AA5F1C"/>
    <w:rsid w:val="00AA75D4"/>
    <w:rsid w:val="00AA7F22"/>
    <w:rsid w:val="00AB0589"/>
    <w:rsid w:val="00AB13E8"/>
    <w:rsid w:val="00AB1CBE"/>
    <w:rsid w:val="00AB28C6"/>
    <w:rsid w:val="00AB4F1A"/>
    <w:rsid w:val="00AB6E78"/>
    <w:rsid w:val="00AB7BC2"/>
    <w:rsid w:val="00AC1908"/>
    <w:rsid w:val="00AC5D58"/>
    <w:rsid w:val="00AC673D"/>
    <w:rsid w:val="00AC7E3B"/>
    <w:rsid w:val="00AD0A48"/>
    <w:rsid w:val="00AD1CC9"/>
    <w:rsid w:val="00AD2129"/>
    <w:rsid w:val="00AD2672"/>
    <w:rsid w:val="00AD4446"/>
    <w:rsid w:val="00AD60E2"/>
    <w:rsid w:val="00AD6178"/>
    <w:rsid w:val="00AE1B0C"/>
    <w:rsid w:val="00AE1FE8"/>
    <w:rsid w:val="00AE3D5F"/>
    <w:rsid w:val="00AE44FA"/>
    <w:rsid w:val="00AE7552"/>
    <w:rsid w:val="00AF05AD"/>
    <w:rsid w:val="00AF1BF8"/>
    <w:rsid w:val="00AF2719"/>
    <w:rsid w:val="00AF310F"/>
    <w:rsid w:val="00AF500B"/>
    <w:rsid w:val="00AF59DB"/>
    <w:rsid w:val="00AF5FA3"/>
    <w:rsid w:val="00AF62B2"/>
    <w:rsid w:val="00B014BF"/>
    <w:rsid w:val="00B0500C"/>
    <w:rsid w:val="00B11AB0"/>
    <w:rsid w:val="00B12BC6"/>
    <w:rsid w:val="00B12CE4"/>
    <w:rsid w:val="00B12D51"/>
    <w:rsid w:val="00B1473D"/>
    <w:rsid w:val="00B171FE"/>
    <w:rsid w:val="00B17393"/>
    <w:rsid w:val="00B202E3"/>
    <w:rsid w:val="00B20E71"/>
    <w:rsid w:val="00B21B94"/>
    <w:rsid w:val="00B225CE"/>
    <w:rsid w:val="00B226BD"/>
    <w:rsid w:val="00B26138"/>
    <w:rsid w:val="00B31133"/>
    <w:rsid w:val="00B31298"/>
    <w:rsid w:val="00B33CB5"/>
    <w:rsid w:val="00B34476"/>
    <w:rsid w:val="00B344B3"/>
    <w:rsid w:val="00B358C3"/>
    <w:rsid w:val="00B35CDD"/>
    <w:rsid w:val="00B36576"/>
    <w:rsid w:val="00B36850"/>
    <w:rsid w:val="00B372A8"/>
    <w:rsid w:val="00B3761D"/>
    <w:rsid w:val="00B40AAD"/>
    <w:rsid w:val="00B425D0"/>
    <w:rsid w:val="00B427A6"/>
    <w:rsid w:val="00B42F58"/>
    <w:rsid w:val="00B46671"/>
    <w:rsid w:val="00B46736"/>
    <w:rsid w:val="00B510F4"/>
    <w:rsid w:val="00B543E2"/>
    <w:rsid w:val="00B549EC"/>
    <w:rsid w:val="00B54E25"/>
    <w:rsid w:val="00B55307"/>
    <w:rsid w:val="00B56E46"/>
    <w:rsid w:val="00B573C1"/>
    <w:rsid w:val="00B603C6"/>
    <w:rsid w:val="00B606ED"/>
    <w:rsid w:val="00B621D8"/>
    <w:rsid w:val="00B6642F"/>
    <w:rsid w:val="00B66D08"/>
    <w:rsid w:val="00B70189"/>
    <w:rsid w:val="00B7046D"/>
    <w:rsid w:val="00B71F73"/>
    <w:rsid w:val="00B744FB"/>
    <w:rsid w:val="00B76790"/>
    <w:rsid w:val="00B77413"/>
    <w:rsid w:val="00B80127"/>
    <w:rsid w:val="00B81557"/>
    <w:rsid w:val="00B83660"/>
    <w:rsid w:val="00B8778A"/>
    <w:rsid w:val="00B87909"/>
    <w:rsid w:val="00B87C81"/>
    <w:rsid w:val="00B90324"/>
    <w:rsid w:val="00B908E0"/>
    <w:rsid w:val="00B916BB"/>
    <w:rsid w:val="00B918A8"/>
    <w:rsid w:val="00B9344B"/>
    <w:rsid w:val="00B95E22"/>
    <w:rsid w:val="00B968F8"/>
    <w:rsid w:val="00B97816"/>
    <w:rsid w:val="00BA05BE"/>
    <w:rsid w:val="00BA0E2B"/>
    <w:rsid w:val="00BA11CA"/>
    <w:rsid w:val="00BA24A7"/>
    <w:rsid w:val="00BA3D61"/>
    <w:rsid w:val="00BA4724"/>
    <w:rsid w:val="00BA5047"/>
    <w:rsid w:val="00BA7296"/>
    <w:rsid w:val="00BA7A78"/>
    <w:rsid w:val="00BB3AFA"/>
    <w:rsid w:val="00BB3FC6"/>
    <w:rsid w:val="00BB422B"/>
    <w:rsid w:val="00BB589D"/>
    <w:rsid w:val="00BB6891"/>
    <w:rsid w:val="00BB77E3"/>
    <w:rsid w:val="00BC47D1"/>
    <w:rsid w:val="00BC6495"/>
    <w:rsid w:val="00BC678F"/>
    <w:rsid w:val="00BD17DF"/>
    <w:rsid w:val="00BD3131"/>
    <w:rsid w:val="00BD42D6"/>
    <w:rsid w:val="00BD7718"/>
    <w:rsid w:val="00BD7922"/>
    <w:rsid w:val="00BD7B8F"/>
    <w:rsid w:val="00BE32D0"/>
    <w:rsid w:val="00BE391D"/>
    <w:rsid w:val="00BE3C6A"/>
    <w:rsid w:val="00BE6E33"/>
    <w:rsid w:val="00BF02AC"/>
    <w:rsid w:val="00BF22FA"/>
    <w:rsid w:val="00BF2806"/>
    <w:rsid w:val="00BF3319"/>
    <w:rsid w:val="00BF3396"/>
    <w:rsid w:val="00BF3F75"/>
    <w:rsid w:val="00BF53A6"/>
    <w:rsid w:val="00BF6722"/>
    <w:rsid w:val="00BF7505"/>
    <w:rsid w:val="00BF757D"/>
    <w:rsid w:val="00BF7F90"/>
    <w:rsid w:val="00C00435"/>
    <w:rsid w:val="00C00DC7"/>
    <w:rsid w:val="00C026C8"/>
    <w:rsid w:val="00C03BC3"/>
    <w:rsid w:val="00C04F1C"/>
    <w:rsid w:val="00C0556F"/>
    <w:rsid w:val="00C06E79"/>
    <w:rsid w:val="00C07012"/>
    <w:rsid w:val="00C079F0"/>
    <w:rsid w:val="00C07C0D"/>
    <w:rsid w:val="00C136F8"/>
    <w:rsid w:val="00C140F3"/>
    <w:rsid w:val="00C1594D"/>
    <w:rsid w:val="00C178BC"/>
    <w:rsid w:val="00C21101"/>
    <w:rsid w:val="00C21130"/>
    <w:rsid w:val="00C2143D"/>
    <w:rsid w:val="00C23BF5"/>
    <w:rsid w:val="00C23D36"/>
    <w:rsid w:val="00C247FF"/>
    <w:rsid w:val="00C24C73"/>
    <w:rsid w:val="00C24D1E"/>
    <w:rsid w:val="00C2509A"/>
    <w:rsid w:val="00C25BF1"/>
    <w:rsid w:val="00C25EF3"/>
    <w:rsid w:val="00C27877"/>
    <w:rsid w:val="00C27D3B"/>
    <w:rsid w:val="00C30F49"/>
    <w:rsid w:val="00C314D3"/>
    <w:rsid w:val="00C31A63"/>
    <w:rsid w:val="00C322A4"/>
    <w:rsid w:val="00C32751"/>
    <w:rsid w:val="00C34D9C"/>
    <w:rsid w:val="00C351C5"/>
    <w:rsid w:val="00C35973"/>
    <w:rsid w:val="00C405F8"/>
    <w:rsid w:val="00C40B38"/>
    <w:rsid w:val="00C4204D"/>
    <w:rsid w:val="00C438AE"/>
    <w:rsid w:val="00C44447"/>
    <w:rsid w:val="00C4776C"/>
    <w:rsid w:val="00C507AE"/>
    <w:rsid w:val="00C50C58"/>
    <w:rsid w:val="00C52558"/>
    <w:rsid w:val="00C52BD6"/>
    <w:rsid w:val="00C53EC9"/>
    <w:rsid w:val="00C548B9"/>
    <w:rsid w:val="00C54D47"/>
    <w:rsid w:val="00C554DF"/>
    <w:rsid w:val="00C55775"/>
    <w:rsid w:val="00C55BE5"/>
    <w:rsid w:val="00C56E1A"/>
    <w:rsid w:val="00C57801"/>
    <w:rsid w:val="00C63396"/>
    <w:rsid w:val="00C7190A"/>
    <w:rsid w:val="00C71FBB"/>
    <w:rsid w:val="00C72D83"/>
    <w:rsid w:val="00C73DAF"/>
    <w:rsid w:val="00C83327"/>
    <w:rsid w:val="00C83D20"/>
    <w:rsid w:val="00C83F73"/>
    <w:rsid w:val="00C86282"/>
    <w:rsid w:val="00C86409"/>
    <w:rsid w:val="00C879E4"/>
    <w:rsid w:val="00C87A06"/>
    <w:rsid w:val="00C87DDE"/>
    <w:rsid w:val="00C90A1A"/>
    <w:rsid w:val="00C945FC"/>
    <w:rsid w:val="00C948CF"/>
    <w:rsid w:val="00C94E71"/>
    <w:rsid w:val="00C94E82"/>
    <w:rsid w:val="00C95F4D"/>
    <w:rsid w:val="00C96A91"/>
    <w:rsid w:val="00C974D3"/>
    <w:rsid w:val="00CA0A77"/>
    <w:rsid w:val="00CA11C7"/>
    <w:rsid w:val="00CA1B7B"/>
    <w:rsid w:val="00CA2219"/>
    <w:rsid w:val="00CA2514"/>
    <w:rsid w:val="00CA436F"/>
    <w:rsid w:val="00CA5DAC"/>
    <w:rsid w:val="00CB3ACA"/>
    <w:rsid w:val="00CB4C00"/>
    <w:rsid w:val="00CB4DF1"/>
    <w:rsid w:val="00CC0B1D"/>
    <w:rsid w:val="00CC1794"/>
    <w:rsid w:val="00CC2F01"/>
    <w:rsid w:val="00CC315E"/>
    <w:rsid w:val="00CC4924"/>
    <w:rsid w:val="00CC5557"/>
    <w:rsid w:val="00CC56EE"/>
    <w:rsid w:val="00CC6933"/>
    <w:rsid w:val="00CC6BF1"/>
    <w:rsid w:val="00CC7E3A"/>
    <w:rsid w:val="00CD0090"/>
    <w:rsid w:val="00CD0A47"/>
    <w:rsid w:val="00CD1EA1"/>
    <w:rsid w:val="00CD5D22"/>
    <w:rsid w:val="00CD6B60"/>
    <w:rsid w:val="00CD73DD"/>
    <w:rsid w:val="00CE196A"/>
    <w:rsid w:val="00CE30EA"/>
    <w:rsid w:val="00CE3A38"/>
    <w:rsid w:val="00CE4F43"/>
    <w:rsid w:val="00CE70E2"/>
    <w:rsid w:val="00CE7519"/>
    <w:rsid w:val="00CF026B"/>
    <w:rsid w:val="00CF0DE2"/>
    <w:rsid w:val="00CF1181"/>
    <w:rsid w:val="00CF1968"/>
    <w:rsid w:val="00CF237B"/>
    <w:rsid w:val="00CF2706"/>
    <w:rsid w:val="00CF289D"/>
    <w:rsid w:val="00CF2E0D"/>
    <w:rsid w:val="00CF706E"/>
    <w:rsid w:val="00D00F2E"/>
    <w:rsid w:val="00D00FAE"/>
    <w:rsid w:val="00D03962"/>
    <w:rsid w:val="00D04719"/>
    <w:rsid w:val="00D05970"/>
    <w:rsid w:val="00D05BC7"/>
    <w:rsid w:val="00D062E0"/>
    <w:rsid w:val="00D07BAC"/>
    <w:rsid w:val="00D07D2B"/>
    <w:rsid w:val="00D07F83"/>
    <w:rsid w:val="00D11FEC"/>
    <w:rsid w:val="00D12339"/>
    <w:rsid w:val="00D123A2"/>
    <w:rsid w:val="00D129FA"/>
    <w:rsid w:val="00D13070"/>
    <w:rsid w:val="00D13106"/>
    <w:rsid w:val="00D133D2"/>
    <w:rsid w:val="00D146AE"/>
    <w:rsid w:val="00D15D84"/>
    <w:rsid w:val="00D206CD"/>
    <w:rsid w:val="00D26D53"/>
    <w:rsid w:val="00D27895"/>
    <w:rsid w:val="00D31930"/>
    <w:rsid w:val="00D31EB1"/>
    <w:rsid w:val="00D323D4"/>
    <w:rsid w:val="00D331CE"/>
    <w:rsid w:val="00D34AA1"/>
    <w:rsid w:val="00D35B24"/>
    <w:rsid w:val="00D369D3"/>
    <w:rsid w:val="00D42B2A"/>
    <w:rsid w:val="00D452DB"/>
    <w:rsid w:val="00D4562C"/>
    <w:rsid w:val="00D46636"/>
    <w:rsid w:val="00D46975"/>
    <w:rsid w:val="00D472A6"/>
    <w:rsid w:val="00D507CB"/>
    <w:rsid w:val="00D50B91"/>
    <w:rsid w:val="00D51893"/>
    <w:rsid w:val="00D541F3"/>
    <w:rsid w:val="00D55756"/>
    <w:rsid w:val="00D55F6F"/>
    <w:rsid w:val="00D57566"/>
    <w:rsid w:val="00D63991"/>
    <w:rsid w:val="00D64394"/>
    <w:rsid w:val="00D64A71"/>
    <w:rsid w:val="00D64D34"/>
    <w:rsid w:val="00D660AB"/>
    <w:rsid w:val="00D677CF"/>
    <w:rsid w:val="00D70C23"/>
    <w:rsid w:val="00D7163F"/>
    <w:rsid w:val="00D720A5"/>
    <w:rsid w:val="00D76176"/>
    <w:rsid w:val="00D76ED8"/>
    <w:rsid w:val="00D77578"/>
    <w:rsid w:val="00D80120"/>
    <w:rsid w:val="00D80165"/>
    <w:rsid w:val="00D809F9"/>
    <w:rsid w:val="00D8116C"/>
    <w:rsid w:val="00D82FB8"/>
    <w:rsid w:val="00D853E1"/>
    <w:rsid w:val="00D86501"/>
    <w:rsid w:val="00D86BE7"/>
    <w:rsid w:val="00D8720D"/>
    <w:rsid w:val="00D87644"/>
    <w:rsid w:val="00D9072F"/>
    <w:rsid w:val="00D918A0"/>
    <w:rsid w:val="00D93888"/>
    <w:rsid w:val="00D95264"/>
    <w:rsid w:val="00D955D8"/>
    <w:rsid w:val="00D965C1"/>
    <w:rsid w:val="00DA177A"/>
    <w:rsid w:val="00DA192E"/>
    <w:rsid w:val="00DA4EA9"/>
    <w:rsid w:val="00DA6A06"/>
    <w:rsid w:val="00DA79BC"/>
    <w:rsid w:val="00DA7EE7"/>
    <w:rsid w:val="00DB2F35"/>
    <w:rsid w:val="00DB3CFE"/>
    <w:rsid w:val="00DB51AA"/>
    <w:rsid w:val="00DB5933"/>
    <w:rsid w:val="00DB7F14"/>
    <w:rsid w:val="00DC02A6"/>
    <w:rsid w:val="00DC0341"/>
    <w:rsid w:val="00DC11E7"/>
    <w:rsid w:val="00DC18A9"/>
    <w:rsid w:val="00DC368E"/>
    <w:rsid w:val="00DC37A3"/>
    <w:rsid w:val="00DC4869"/>
    <w:rsid w:val="00DC5B53"/>
    <w:rsid w:val="00DC6A5B"/>
    <w:rsid w:val="00DC7132"/>
    <w:rsid w:val="00DD00E6"/>
    <w:rsid w:val="00DD0941"/>
    <w:rsid w:val="00DD0D67"/>
    <w:rsid w:val="00DD17F5"/>
    <w:rsid w:val="00DD3356"/>
    <w:rsid w:val="00DD76F4"/>
    <w:rsid w:val="00DE18EB"/>
    <w:rsid w:val="00DE2DEC"/>
    <w:rsid w:val="00DE3A5B"/>
    <w:rsid w:val="00DE6456"/>
    <w:rsid w:val="00DE6E57"/>
    <w:rsid w:val="00DE7617"/>
    <w:rsid w:val="00DF052E"/>
    <w:rsid w:val="00DF17D0"/>
    <w:rsid w:val="00DF348C"/>
    <w:rsid w:val="00DF4387"/>
    <w:rsid w:val="00DF5011"/>
    <w:rsid w:val="00DF6DD6"/>
    <w:rsid w:val="00E011DA"/>
    <w:rsid w:val="00E0369E"/>
    <w:rsid w:val="00E05BDE"/>
    <w:rsid w:val="00E07907"/>
    <w:rsid w:val="00E07DD7"/>
    <w:rsid w:val="00E11111"/>
    <w:rsid w:val="00E11707"/>
    <w:rsid w:val="00E12886"/>
    <w:rsid w:val="00E13545"/>
    <w:rsid w:val="00E142FF"/>
    <w:rsid w:val="00E1550D"/>
    <w:rsid w:val="00E1642B"/>
    <w:rsid w:val="00E17FB4"/>
    <w:rsid w:val="00E208A4"/>
    <w:rsid w:val="00E209B0"/>
    <w:rsid w:val="00E22B4F"/>
    <w:rsid w:val="00E25EEC"/>
    <w:rsid w:val="00E27294"/>
    <w:rsid w:val="00E305F2"/>
    <w:rsid w:val="00E30D7F"/>
    <w:rsid w:val="00E312D3"/>
    <w:rsid w:val="00E31EFC"/>
    <w:rsid w:val="00E32434"/>
    <w:rsid w:val="00E324B7"/>
    <w:rsid w:val="00E330AA"/>
    <w:rsid w:val="00E330CF"/>
    <w:rsid w:val="00E3458C"/>
    <w:rsid w:val="00E349E9"/>
    <w:rsid w:val="00E36625"/>
    <w:rsid w:val="00E36F6A"/>
    <w:rsid w:val="00E404CB"/>
    <w:rsid w:val="00E40918"/>
    <w:rsid w:val="00E413BF"/>
    <w:rsid w:val="00E41A5E"/>
    <w:rsid w:val="00E421D7"/>
    <w:rsid w:val="00E43A04"/>
    <w:rsid w:val="00E46A29"/>
    <w:rsid w:val="00E514C8"/>
    <w:rsid w:val="00E51B3A"/>
    <w:rsid w:val="00E52634"/>
    <w:rsid w:val="00E52EEF"/>
    <w:rsid w:val="00E53C5A"/>
    <w:rsid w:val="00E54194"/>
    <w:rsid w:val="00E547C8"/>
    <w:rsid w:val="00E60718"/>
    <w:rsid w:val="00E60A2A"/>
    <w:rsid w:val="00E60A8C"/>
    <w:rsid w:val="00E61545"/>
    <w:rsid w:val="00E62270"/>
    <w:rsid w:val="00E62342"/>
    <w:rsid w:val="00E64AC2"/>
    <w:rsid w:val="00E6558F"/>
    <w:rsid w:val="00E6592F"/>
    <w:rsid w:val="00E67B8D"/>
    <w:rsid w:val="00E70621"/>
    <w:rsid w:val="00E707E3"/>
    <w:rsid w:val="00E70B3F"/>
    <w:rsid w:val="00E71211"/>
    <w:rsid w:val="00E71D3A"/>
    <w:rsid w:val="00E7436A"/>
    <w:rsid w:val="00E743C6"/>
    <w:rsid w:val="00E74950"/>
    <w:rsid w:val="00E74D7E"/>
    <w:rsid w:val="00E75AAF"/>
    <w:rsid w:val="00E7679A"/>
    <w:rsid w:val="00E7711D"/>
    <w:rsid w:val="00E772F5"/>
    <w:rsid w:val="00E81FAA"/>
    <w:rsid w:val="00E8470E"/>
    <w:rsid w:val="00E85BCB"/>
    <w:rsid w:val="00E87CB9"/>
    <w:rsid w:val="00E907BC"/>
    <w:rsid w:val="00E9204D"/>
    <w:rsid w:val="00E935AC"/>
    <w:rsid w:val="00E93DE9"/>
    <w:rsid w:val="00E95FA9"/>
    <w:rsid w:val="00E95FDD"/>
    <w:rsid w:val="00E97F6E"/>
    <w:rsid w:val="00EA2332"/>
    <w:rsid w:val="00EA2C5A"/>
    <w:rsid w:val="00EA309F"/>
    <w:rsid w:val="00EA4F35"/>
    <w:rsid w:val="00EA68A0"/>
    <w:rsid w:val="00EA76D8"/>
    <w:rsid w:val="00EA7F53"/>
    <w:rsid w:val="00EB16F1"/>
    <w:rsid w:val="00EB2A50"/>
    <w:rsid w:val="00EB2A60"/>
    <w:rsid w:val="00EB4559"/>
    <w:rsid w:val="00EB5F08"/>
    <w:rsid w:val="00EB6C3E"/>
    <w:rsid w:val="00EB6F9E"/>
    <w:rsid w:val="00EB7268"/>
    <w:rsid w:val="00EC0029"/>
    <w:rsid w:val="00EC0875"/>
    <w:rsid w:val="00EC1DF8"/>
    <w:rsid w:val="00EC35AD"/>
    <w:rsid w:val="00EC5535"/>
    <w:rsid w:val="00EC6519"/>
    <w:rsid w:val="00EC6804"/>
    <w:rsid w:val="00ED102E"/>
    <w:rsid w:val="00ED28CC"/>
    <w:rsid w:val="00ED3F59"/>
    <w:rsid w:val="00ED43B9"/>
    <w:rsid w:val="00ED4B1B"/>
    <w:rsid w:val="00ED5439"/>
    <w:rsid w:val="00ED63CB"/>
    <w:rsid w:val="00ED658A"/>
    <w:rsid w:val="00ED6F3B"/>
    <w:rsid w:val="00EE179E"/>
    <w:rsid w:val="00EE4458"/>
    <w:rsid w:val="00EE5B75"/>
    <w:rsid w:val="00EF03D5"/>
    <w:rsid w:val="00EF2BE6"/>
    <w:rsid w:val="00EF45BA"/>
    <w:rsid w:val="00EF4C85"/>
    <w:rsid w:val="00EF7B85"/>
    <w:rsid w:val="00F01F8B"/>
    <w:rsid w:val="00F0223C"/>
    <w:rsid w:val="00F044DD"/>
    <w:rsid w:val="00F04A4D"/>
    <w:rsid w:val="00F05AAD"/>
    <w:rsid w:val="00F05CE4"/>
    <w:rsid w:val="00F05FD6"/>
    <w:rsid w:val="00F102D0"/>
    <w:rsid w:val="00F10480"/>
    <w:rsid w:val="00F10622"/>
    <w:rsid w:val="00F109B3"/>
    <w:rsid w:val="00F10D8F"/>
    <w:rsid w:val="00F11001"/>
    <w:rsid w:val="00F12D26"/>
    <w:rsid w:val="00F12DD7"/>
    <w:rsid w:val="00F12FBD"/>
    <w:rsid w:val="00F158FA"/>
    <w:rsid w:val="00F15F1A"/>
    <w:rsid w:val="00F175B4"/>
    <w:rsid w:val="00F201C9"/>
    <w:rsid w:val="00F211AF"/>
    <w:rsid w:val="00F22CC7"/>
    <w:rsid w:val="00F233E8"/>
    <w:rsid w:val="00F23C28"/>
    <w:rsid w:val="00F24100"/>
    <w:rsid w:val="00F24464"/>
    <w:rsid w:val="00F255F3"/>
    <w:rsid w:val="00F260D6"/>
    <w:rsid w:val="00F2630D"/>
    <w:rsid w:val="00F27E4A"/>
    <w:rsid w:val="00F31609"/>
    <w:rsid w:val="00F33E4A"/>
    <w:rsid w:val="00F344C6"/>
    <w:rsid w:val="00F352C7"/>
    <w:rsid w:val="00F36C8B"/>
    <w:rsid w:val="00F36D40"/>
    <w:rsid w:val="00F37BDB"/>
    <w:rsid w:val="00F4027D"/>
    <w:rsid w:val="00F4332F"/>
    <w:rsid w:val="00F434FC"/>
    <w:rsid w:val="00F4510C"/>
    <w:rsid w:val="00F4641C"/>
    <w:rsid w:val="00F47E25"/>
    <w:rsid w:val="00F50A4A"/>
    <w:rsid w:val="00F53532"/>
    <w:rsid w:val="00F5455A"/>
    <w:rsid w:val="00F5634A"/>
    <w:rsid w:val="00F64079"/>
    <w:rsid w:val="00F659E2"/>
    <w:rsid w:val="00F66A91"/>
    <w:rsid w:val="00F67493"/>
    <w:rsid w:val="00F67EAD"/>
    <w:rsid w:val="00F707E3"/>
    <w:rsid w:val="00F73FE0"/>
    <w:rsid w:val="00F74319"/>
    <w:rsid w:val="00F758B8"/>
    <w:rsid w:val="00F7613A"/>
    <w:rsid w:val="00F77A3B"/>
    <w:rsid w:val="00F808C9"/>
    <w:rsid w:val="00F809ED"/>
    <w:rsid w:val="00F80A1A"/>
    <w:rsid w:val="00F81E15"/>
    <w:rsid w:val="00F81E97"/>
    <w:rsid w:val="00F825EF"/>
    <w:rsid w:val="00F83749"/>
    <w:rsid w:val="00F83DCA"/>
    <w:rsid w:val="00F845FD"/>
    <w:rsid w:val="00F8470E"/>
    <w:rsid w:val="00F858BF"/>
    <w:rsid w:val="00F8788E"/>
    <w:rsid w:val="00F87EAC"/>
    <w:rsid w:val="00F901ED"/>
    <w:rsid w:val="00F92A26"/>
    <w:rsid w:val="00F93BE5"/>
    <w:rsid w:val="00F9501B"/>
    <w:rsid w:val="00F95B66"/>
    <w:rsid w:val="00F96FF6"/>
    <w:rsid w:val="00F97D16"/>
    <w:rsid w:val="00F97FCB"/>
    <w:rsid w:val="00FA0A28"/>
    <w:rsid w:val="00FA1C33"/>
    <w:rsid w:val="00FA24D0"/>
    <w:rsid w:val="00FA2EC8"/>
    <w:rsid w:val="00FA3151"/>
    <w:rsid w:val="00FA594B"/>
    <w:rsid w:val="00FA7C7A"/>
    <w:rsid w:val="00FA7D15"/>
    <w:rsid w:val="00FB0559"/>
    <w:rsid w:val="00FB28FD"/>
    <w:rsid w:val="00FB3E61"/>
    <w:rsid w:val="00FB3FB0"/>
    <w:rsid w:val="00FB53A2"/>
    <w:rsid w:val="00FB5593"/>
    <w:rsid w:val="00FB6799"/>
    <w:rsid w:val="00FB75E5"/>
    <w:rsid w:val="00FB7E68"/>
    <w:rsid w:val="00FC0DCE"/>
    <w:rsid w:val="00FC0E79"/>
    <w:rsid w:val="00FC2139"/>
    <w:rsid w:val="00FC2A97"/>
    <w:rsid w:val="00FC2C98"/>
    <w:rsid w:val="00FC3303"/>
    <w:rsid w:val="00FC4F17"/>
    <w:rsid w:val="00FC4FFE"/>
    <w:rsid w:val="00FC6C3D"/>
    <w:rsid w:val="00FD1D4A"/>
    <w:rsid w:val="00FD338E"/>
    <w:rsid w:val="00FD3756"/>
    <w:rsid w:val="00FD3D4D"/>
    <w:rsid w:val="00FD4E66"/>
    <w:rsid w:val="00FD609E"/>
    <w:rsid w:val="00FD6B9A"/>
    <w:rsid w:val="00FD6CA4"/>
    <w:rsid w:val="00FD7D5F"/>
    <w:rsid w:val="00FE497A"/>
    <w:rsid w:val="00FE61CC"/>
    <w:rsid w:val="00FE69F9"/>
    <w:rsid w:val="00FE74FB"/>
    <w:rsid w:val="00FF093C"/>
    <w:rsid w:val="00FF0B58"/>
    <w:rsid w:val="00FF0D57"/>
    <w:rsid w:val="00FF317A"/>
    <w:rsid w:val="00FF61E8"/>
    <w:rsid w:val="00FF6346"/>
    <w:rsid w:val="00FF6A38"/>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65889"/>
    <o:shapelayout v:ext="edit">
      <o:idmap v:ext="edit" data="1"/>
    </o:shapelayout>
  </w:shapeDefaults>
  <w:decimalSymbol w:val="."/>
  <w:listSeparator w:val=","/>
  <w14:docId w14:val="742102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18"/>
        <w:szCs w:val="18"/>
        <w:lang w:val="en-GB" w:eastAsia="en-US" w:bidi="ar-SA"/>
      </w:rPr>
    </w:rPrDefault>
    <w:pPrDefault/>
  </w:docDefaults>
  <w:latentStyles w:defLockedState="0" w:defUIPriority="99" w:defSemiHidden="1" w:defUnhideWhenUsed="1" w:defQFormat="0" w:count="267">
    <w:lsdException w:name="Normal" w:semiHidden="0" w:uiPriority="1" w:unhideWhenUsed="0" w:qFormat="1"/>
    <w:lsdException w:name="heading 1" w:semiHidden="0" w:uiPriority="0" w:unhideWhenUsed="0" w:qFormat="1"/>
    <w:lsdException w:name="heading 2" w:uiPriority="0" w:unhideWhenUsed="0" w:qFormat="1"/>
    <w:lsdException w:name="heading 3" w:uiPriority="5" w:unhideWhenUsed="0" w:qFormat="1"/>
    <w:lsdException w:name="heading 4" w:uiPriority="6" w:unhideWhenUsed="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unhideWhenUsed="0" w:qFormat="1"/>
    <w:lsdException w:name="List Bullet" w:uiPriority="9" w:unhideWhenUsed="0" w:qFormat="1"/>
    <w:lsdException w:name="List Number" w:uiPriority="11" w:unhideWhenUsed="0" w:qFormat="1"/>
    <w:lsdException w:name="List Bullet 2" w:uiPriority="10" w:unhideWhenUsed="0" w:qFormat="1"/>
    <w:lsdException w:name="List Bullet 3" w:uiPriority="11" w:unhideWhenUsed="0" w:qFormat="1"/>
    <w:lsdException w:name="List Number 2" w:uiPriority="12" w:unhideWhenUsed="0" w:qFormat="1"/>
    <w:lsdException w:name="List Number 3" w:uiPriority="13" w:unhideWhenUsed="0" w:qFormat="1"/>
    <w:lsdException w:name="Title" w:semiHidden="0" w:uiPriority="10" w:unhideWhenUsed="0"/>
    <w:lsdException w:name="Default Paragraph Font" w:uiPriority="1"/>
    <w:lsdException w:name="Body Text" w:semiHidden="0" w:uiPriority="0" w:unhideWhenUsed="0" w:qFormat="1"/>
    <w:lsdException w:name="Subtitle" w:semiHidden="0" w:uiPriority="11" w:unhideWhenUsed="0"/>
    <w:lsdException w:name="Hyperlink" w:uiPriority="27" w:unhideWhenUsed="0" w:qFormat="1"/>
    <w:lsdException w:name="FollowedHyperlink" w:uiPriority="28" w:unhideWhenUsed="0" w:qFormat="1"/>
    <w:lsdException w:name="Strong" w:semiHidden="0" w:uiPriority="22" w:unhideWhenUsed="0"/>
    <w:lsdException w:name="Emphasis" w:semiHidden="0" w:uiPriority="20" w:unhideWhenUsed="0"/>
    <w:lsdException w:name="Table Grid" w:uiPriority="0"/>
    <w:lsdException w:name="No Spacing" w:uiPriority="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2"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lsdException w:name="Book Title" w:semiHidden="0" w:uiPriority="33"/>
    <w:lsdException w:name="Bibliography" w:uiPriority="37"/>
    <w:lsdException w:name="TOC Heading" w:uiPriority="39"/>
  </w:latentStyles>
  <w:style w:type="paragraph" w:default="1" w:styleId="Normal">
    <w:name w:val="Normal"/>
    <w:uiPriority w:val="1"/>
    <w:qFormat/>
    <w:rsid w:val="00A12F95"/>
    <w:pPr>
      <w:tabs>
        <w:tab w:val="left" w:pos="284"/>
      </w:tabs>
      <w:spacing w:line="240" w:lineRule="atLeast"/>
    </w:pPr>
    <w:rPr>
      <w:kern w:val="18"/>
      <w:lang w:val="en-US"/>
    </w:rPr>
  </w:style>
  <w:style w:type="paragraph" w:styleId="Heading1">
    <w:name w:val="heading 1"/>
    <w:basedOn w:val="Normal"/>
    <w:next w:val="BodyText"/>
    <w:link w:val="Heading1Char"/>
    <w:autoRedefine/>
    <w:qFormat/>
    <w:rsid w:val="00CA2219"/>
    <w:pPr>
      <w:keepNext/>
      <w:keepLines/>
      <w:tabs>
        <w:tab w:val="clear" w:pos="284"/>
      </w:tabs>
      <w:spacing w:before="360" w:after="120" w:line="240" w:lineRule="auto"/>
      <w:ind w:left="567" w:hanging="567"/>
      <w:outlineLvl w:val="0"/>
    </w:pPr>
    <w:rPr>
      <w:rFonts w:asciiTheme="majorHAnsi" w:eastAsiaTheme="majorEastAsia" w:hAnsiTheme="majorHAnsi" w:cstheme="majorBidi"/>
      <w:b/>
      <w:bCs/>
      <w:color w:val="00B5E2" w:themeColor="accent1"/>
      <w:sz w:val="32"/>
      <w:szCs w:val="28"/>
    </w:rPr>
  </w:style>
  <w:style w:type="paragraph" w:styleId="Heading2">
    <w:name w:val="heading 2"/>
    <w:basedOn w:val="Numberedtext"/>
    <w:next w:val="Numberedtext"/>
    <w:link w:val="Heading2Char"/>
    <w:qFormat/>
    <w:rsid w:val="00265A9E"/>
    <w:pPr>
      <w:outlineLvl w:val="1"/>
    </w:pPr>
  </w:style>
  <w:style w:type="paragraph" w:styleId="Heading3">
    <w:name w:val="heading 3"/>
    <w:basedOn w:val="Numberedtext"/>
    <w:next w:val="BodyText"/>
    <w:link w:val="Heading3Char"/>
    <w:uiPriority w:val="5"/>
    <w:qFormat/>
    <w:rsid w:val="00265A9E"/>
    <w:pPr>
      <w:numPr>
        <w:ilvl w:val="2"/>
      </w:numPr>
      <w:outlineLvl w:val="2"/>
    </w:pPr>
  </w:style>
  <w:style w:type="paragraph" w:styleId="Heading4">
    <w:name w:val="heading 4"/>
    <w:basedOn w:val="Heading3"/>
    <w:next w:val="BodyText"/>
    <w:link w:val="Heading4Char"/>
    <w:uiPriority w:val="6"/>
    <w:qFormat/>
    <w:rsid w:val="00E413BF"/>
    <w:pPr>
      <w:numPr>
        <w:ilvl w:val="3"/>
      </w:numPr>
      <w:outlineLvl w:val="3"/>
    </w:pPr>
  </w:style>
  <w:style w:type="paragraph" w:styleId="Heading5">
    <w:name w:val="heading 5"/>
    <w:basedOn w:val="Normal"/>
    <w:next w:val="BodyText"/>
    <w:link w:val="Heading5Char"/>
    <w:unhideWhenUsed/>
    <w:qFormat/>
    <w:rsid w:val="002770A0"/>
    <w:pPr>
      <w:keepNext/>
      <w:keepLines/>
      <w:spacing w:before="120"/>
      <w:outlineLvl w:val="4"/>
    </w:pPr>
    <w:rPr>
      <w:rFonts w:asciiTheme="majorHAnsi" w:eastAsiaTheme="majorEastAsia" w:hAnsiTheme="majorHAnsi" w:cstheme="majorBidi"/>
      <w:b/>
      <w:color w:val="00B5E2" w:themeColor="accent1"/>
    </w:rPr>
  </w:style>
  <w:style w:type="paragraph" w:styleId="Heading6">
    <w:name w:val="heading 6"/>
    <w:basedOn w:val="Normal"/>
    <w:next w:val="Normal"/>
    <w:link w:val="Heading6Char"/>
    <w:semiHidden/>
    <w:unhideWhenUsed/>
    <w:qFormat/>
    <w:rsid w:val="00582989"/>
    <w:pPr>
      <w:keepNext/>
      <w:keepLines/>
      <w:spacing w:before="200"/>
      <w:outlineLvl w:val="5"/>
    </w:pPr>
    <w:rPr>
      <w:rFonts w:asciiTheme="majorHAnsi" w:eastAsiaTheme="majorEastAsia" w:hAnsiTheme="majorHAnsi" w:cstheme="majorBidi"/>
      <w:i/>
      <w:iCs/>
      <w:color w:val="005970" w:themeColor="accent1" w:themeShade="7F"/>
    </w:rPr>
  </w:style>
  <w:style w:type="paragraph" w:styleId="Heading7">
    <w:name w:val="heading 7"/>
    <w:basedOn w:val="Normal"/>
    <w:next w:val="Normal"/>
    <w:link w:val="Heading7Char"/>
    <w:semiHidden/>
    <w:unhideWhenUsed/>
    <w:qFormat/>
    <w:rsid w:val="00582989"/>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semiHidden/>
    <w:unhideWhenUsed/>
    <w:qFormat/>
    <w:rsid w:val="00582989"/>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nhideWhenUsed/>
    <w:qFormat/>
    <w:rsid w:val="00582989"/>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3"/>
    <w:rsid w:val="00CA2219"/>
    <w:rPr>
      <w:rFonts w:asciiTheme="majorHAnsi" w:eastAsiaTheme="majorEastAsia" w:hAnsiTheme="majorHAnsi" w:cstheme="majorBidi"/>
      <w:b/>
      <w:bCs/>
      <w:color w:val="00B5E2" w:themeColor="accent1"/>
      <w:kern w:val="18"/>
      <w:sz w:val="32"/>
      <w:szCs w:val="28"/>
      <w:lang w:val="en-US"/>
    </w:rPr>
  </w:style>
  <w:style w:type="character" w:customStyle="1" w:styleId="Heading2Char">
    <w:name w:val="Heading 2 Char"/>
    <w:basedOn w:val="DefaultParagraphFont"/>
    <w:link w:val="Heading2"/>
    <w:uiPriority w:val="4"/>
    <w:rsid w:val="00265A9E"/>
    <w:rPr>
      <w:b/>
      <w:color w:val="00B5E2" w:themeColor="accent1"/>
      <w:kern w:val="18"/>
      <w:sz w:val="24"/>
      <w:lang w:val="en-US"/>
    </w:rPr>
  </w:style>
  <w:style w:type="character" w:customStyle="1" w:styleId="Heading3Char">
    <w:name w:val="Heading 3 Char"/>
    <w:basedOn w:val="DefaultParagraphFont"/>
    <w:link w:val="Heading3"/>
    <w:uiPriority w:val="5"/>
    <w:rsid w:val="00265A9E"/>
    <w:rPr>
      <w:b/>
      <w:color w:val="00B5E2" w:themeColor="accent1"/>
      <w:kern w:val="18"/>
      <w:sz w:val="24"/>
      <w:lang w:val="en-US"/>
    </w:rPr>
  </w:style>
  <w:style w:type="paragraph" w:styleId="ListNumber">
    <w:name w:val="List Number"/>
    <w:basedOn w:val="Normal"/>
    <w:uiPriority w:val="11"/>
    <w:qFormat/>
    <w:rsid w:val="00790710"/>
    <w:pPr>
      <w:numPr>
        <w:numId w:val="15"/>
      </w:numPr>
      <w:tabs>
        <w:tab w:val="clear" w:pos="284"/>
      </w:tabs>
      <w:spacing w:after="120"/>
    </w:pPr>
  </w:style>
  <w:style w:type="paragraph" w:styleId="ListNumber2">
    <w:name w:val="List Number 2"/>
    <w:basedOn w:val="Normal"/>
    <w:uiPriority w:val="12"/>
    <w:qFormat/>
    <w:rsid w:val="00790710"/>
    <w:pPr>
      <w:numPr>
        <w:ilvl w:val="1"/>
        <w:numId w:val="15"/>
      </w:numPr>
      <w:tabs>
        <w:tab w:val="clear" w:pos="284"/>
      </w:tabs>
      <w:spacing w:after="120"/>
    </w:pPr>
  </w:style>
  <w:style w:type="paragraph" w:styleId="ListNumber3">
    <w:name w:val="List Number 3"/>
    <w:basedOn w:val="Normal"/>
    <w:uiPriority w:val="13"/>
    <w:qFormat/>
    <w:rsid w:val="00790710"/>
    <w:pPr>
      <w:numPr>
        <w:ilvl w:val="2"/>
        <w:numId w:val="15"/>
      </w:numPr>
      <w:tabs>
        <w:tab w:val="clear" w:pos="284"/>
      </w:tabs>
      <w:spacing w:after="120"/>
    </w:pPr>
  </w:style>
  <w:style w:type="paragraph" w:styleId="ListBullet">
    <w:name w:val="List Bullet"/>
    <w:basedOn w:val="Normal"/>
    <w:uiPriority w:val="9"/>
    <w:qFormat/>
    <w:rsid w:val="00790710"/>
    <w:pPr>
      <w:numPr>
        <w:numId w:val="14"/>
      </w:numPr>
      <w:tabs>
        <w:tab w:val="clear" w:pos="284"/>
      </w:tabs>
      <w:spacing w:after="120"/>
    </w:pPr>
  </w:style>
  <w:style w:type="paragraph" w:styleId="ListBullet2">
    <w:name w:val="List Bullet 2"/>
    <w:basedOn w:val="Normal"/>
    <w:uiPriority w:val="10"/>
    <w:qFormat/>
    <w:rsid w:val="00790710"/>
    <w:pPr>
      <w:numPr>
        <w:ilvl w:val="1"/>
        <w:numId w:val="14"/>
      </w:numPr>
      <w:tabs>
        <w:tab w:val="clear" w:pos="284"/>
      </w:tabs>
      <w:spacing w:after="120"/>
    </w:pPr>
  </w:style>
  <w:style w:type="paragraph" w:styleId="ListBullet3">
    <w:name w:val="List Bullet 3"/>
    <w:basedOn w:val="Normal"/>
    <w:uiPriority w:val="11"/>
    <w:qFormat/>
    <w:rsid w:val="00790710"/>
    <w:pPr>
      <w:numPr>
        <w:ilvl w:val="2"/>
        <w:numId w:val="14"/>
      </w:numPr>
      <w:tabs>
        <w:tab w:val="clear" w:pos="284"/>
      </w:tabs>
      <w:spacing w:after="120"/>
    </w:pPr>
  </w:style>
  <w:style w:type="character" w:customStyle="1" w:styleId="Heading4Char">
    <w:name w:val="Heading 4 Char"/>
    <w:basedOn w:val="DefaultParagraphFont"/>
    <w:link w:val="Heading4"/>
    <w:uiPriority w:val="6"/>
    <w:rsid w:val="00E413BF"/>
    <w:rPr>
      <w:b/>
      <w:color w:val="00B5E2" w:themeColor="accent1"/>
      <w:kern w:val="18"/>
      <w:sz w:val="24"/>
      <w:lang w:val="en-US"/>
    </w:rPr>
  </w:style>
  <w:style w:type="numbering" w:customStyle="1" w:styleId="AECOMBullets">
    <w:name w:val="AECOM_Bullets"/>
    <w:basedOn w:val="NoList"/>
    <w:uiPriority w:val="99"/>
    <w:semiHidden/>
    <w:unhideWhenUsed/>
    <w:rsid w:val="00C86409"/>
    <w:pPr>
      <w:numPr>
        <w:numId w:val="1"/>
      </w:numPr>
    </w:pPr>
  </w:style>
  <w:style w:type="character" w:customStyle="1" w:styleId="Heading5Char">
    <w:name w:val="Heading 5 Char"/>
    <w:basedOn w:val="DefaultParagraphFont"/>
    <w:link w:val="Heading5"/>
    <w:uiPriority w:val="9"/>
    <w:rsid w:val="00F66A91"/>
    <w:rPr>
      <w:rFonts w:asciiTheme="majorHAnsi" w:eastAsiaTheme="majorEastAsia" w:hAnsiTheme="majorHAnsi" w:cstheme="majorBidi"/>
      <w:b/>
      <w:color w:val="00B5E2" w:themeColor="accent1"/>
      <w:kern w:val="18"/>
    </w:rPr>
  </w:style>
  <w:style w:type="paragraph" w:styleId="BodyText">
    <w:name w:val="Body Text"/>
    <w:basedOn w:val="Normal"/>
    <w:link w:val="BodyTextChar"/>
    <w:qFormat/>
    <w:rsid w:val="00BD7718"/>
    <w:pPr>
      <w:tabs>
        <w:tab w:val="clear" w:pos="284"/>
      </w:tabs>
      <w:spacing w:after="180"/>
    </w:pPr>
  </w:style>
  <w:style w:type="numbering" w:customStyle="1" w:styleId="AECOMList">
    <w:name w:val="AECOM_List"/>
    <w:basedOn w:val="NoList"/>
    <w:uiPriority w:val="99"/>
    <w:semiHidden/>
    <w:unhideWhenUsed/>
    <w:rsid w:val="00323654"/>
    <w:pPr>
      <w:numPr>
        <w:numId w:val="2"/>
      </w:numPr>
    </w:pPr>
  </w:style>
  <w:style w:type="character" w:customStyle="1" w:styleId="BodyTextChar">
    <w:name w:val="Body Text Char"/>
    <w:basedOn w:val="DefaultParagraphFont"/>
    <w:link w:val="BodyText"/>
    <w:rsid w:val="00BD7718"/>
    <w:rPr>
      <w:kern w:val="18"/>
    </w:rPr>
  </w:style>
  <w:style w:type="paragraph" w:customStyle="1" w:styleId="CoverTitle">
    <w:name w:val="Cover Title"/>
    <w:basedOn w:val="Normal"/>
    <w:next w:val="BodyText"/>
    <w:semiHidden/>
    <w:unhideWhenUsed/>
    <w:rsid w:val="00DD3356"/>
    <w:pPr>
      <w:spacing w:before="360" w:after="360" w:line="900" w:lineRule="atLeast"/>
    </w:pPr>
    <w:rPr>
      <w:rFonts w:asciiTheme="majorHAnsi" w:hAnsiTheme="majorHAnsi"/>
      <w:b/>
      <w:color w:val="00B5E2" w:themeColor="accent1"/>
      <w:sz w:val="80"/>
    </w:rPr>
  </w:style>
  <w:style w:type="paragraph" w:customStyle="1" w:styleId="SectionTitle">
    <w:name w:val="Section Title"/>
    <w:basedOn w:val="BodyText"/>
    <w:next w:val="BodyText"/>
    <w:semiHidden/>
    <w:unhideWhenUsed/>
    <w:rsid w:val="00D129FA"/>
    <w:pPr>
      <w:spacing w:before="360" w:after="360" w:line="660" w:lineRule="atLeast"/>
      <w:jc w:val="right"/>
    </w:pPr>
    <w:rPr>
      <w:rFonts w:asciiTheme="majorHAnsi" w:hAnsiTheme="majorHAnsi"/>
      <w:color w:val="FFFFFF" w:themeColor="background1"/>
      <w:sz w:val="60"/>
    </w:rPr>
  </w:style>
  <w:style w:type="paragraph" w:customStyle="1" w:styleId="DividerSectionNumber">
    <w:name w:val="Divider Section Number"/>
    <w:basedOn w:val="BodyText"/>
    <w:next w:val="BodyText"/>
    <w:semiHidden/>
    <w:unhideWhenUsed/>
    <w:rsid w:val="00B55307"/>
    <w:pPr>
      <w:spacing w:before="360" w:after="360" w:line="2400" w:lineRule="atLeast"/>
      <w:jc w:val="right"/>
    </w:pPr>
    <w:rPr>
      <w:rFonts w:asciiTheme="majorHAnsi" w:hAnsiTheme="majorHAnsi"/>
      <w:color w:val="FFFFFF" w:themeColor="background1"/>
      <w:sz w:val="200"/>
    </w:rPr>
  </w:style>
  <w:style w:type="paragraph" w:customStyle="1" w:styleId="DividerSectionNumberSmall">
    <w:name w:val="Divider Section Number (Small)"/>
    <w:basedOn w:val="Normal"/>
    <w:next w:val="BodyText"/>
    <w:semiHidden/>
    <w:unhideWhenUsed/>
    <w:rsid w:val="00DD3356"/>
    <w:pPr>
      <w:spacing w:before="360" w:after="360" w:line="1440" w:lineRule="atLeast"/>
      <w:jc w:val="right"/>
    </w:pPr>
    <w:rPr>
      <w:rFonts w:asciiTheme="majorHAnsi" w:hAnsiTheme="majorHAnsi"/>
      <w:b/>
      <w:color w:val="00B5E2" w:themeColor="accent1"/>
      <w:sz w:val="120"/>
    </w:rPr>
  </w:style>
  <w:style w:type="table" w:styleId="TableGrid">
    <w:name w:val="Table Grid"/>
    <w:basedOn w:val="TableNormal"/>
    <w:unhideWhenUsed/>
    <w:rsid w:val="00364FD7"/>
    <w:rPr>
      <w:sz w:val="1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Pr>
    <w:tblStylePr w:type="firstRow">
      <w:rPr>
        <w:rFonts w:asciiTheme="majorHAnsi" w:hAnsiTheme="majorHAnsi"/>
        <w:b w:val="0"/>
      </w:rPr>
    </w:tblStylePr>
  </w:style>
  <w:style w:type="table" w:customStyle="1" w:styleId="AECOMtable">
    <w:name w:val="AECOM table"/>
    <w:basedOn w:val="TableNormal"/>
    <w:uiPriority w:val="99"/>
    <w:semiHidden/>
    <w:unhideWhenUsed/>
    <w:rsid w:val="00A315D3"/>
    <w:rPr>
      <w:sz w:val="16"/>
    </w:rPr>
    <w:tblPr>
      <w:tblBorders>
        <w:insideH w:val="single" w:sz="4" w:space="0" w:color="auto"/>
      </w:tblBorders>
      <w:tblCellMar>
        <w:top w:w="28" w:type="dxa"/>
        <w:left w:w="0" w:type="dxa"/>
        <w:bottom w:w="28" w:type="dxa"/>
        <w:right w:w="113" w:type="dxa"/>
      </w:tblCellMar>
    </w:tblPr>
    <w:tblStylePr w:type="firstRow">
      <w:rPr>
        <w:rFonts w:asciiTheme="majorHAnsi" w:hAnsiTheme="majorHAnsi"/>
        <w:b/>
        <w:color w:val="00B5E2" w:themeColor="accent1"/>
        <w:sz w:val="16"/>
      </w:rPr>
      <w:tblPr/>
      <w:tcPr>
        <w:tcBorders>
          <w:top w:val="nil"/>
          <w:left w:val="nil"/>
          <w:bottom w:val="single" w:sz="12" w:space="0" w:color="00B5E2" w:themeColor="accent1"/>
          <w:right w:val="nil"/>
          <w:insideH w:val="nil"/>
          <w:insideV w:val="nil"/>
          <w:tl2br w:val="nil"/>
          <w:tr2bl w:val="nil"/>
        </w:tcBorders>
      </w:tcPr>
    </w:tblStylePr>
  </w:style>
  <w:style w:type="paragraph" w:styleId="Caption">
    <w:name w:val="caption"/>
    <w:basedOn w:val="Normal"/>
    <w:next w:val="BodyText"/>
    <w:uiPriority w:val="35"/>
    <w:qFormat/>
    <w:rsid w:val="005756F4"/>
    <w:pPr>
      <w:keepNext/>
      <w:spacing w:after="120"/>
    </w:pPr>
    <w:rPr>
      <w:rFonts w:asciiTheme="majorHAnsi" w:hAnsiTheme="majorHAnsi"/>
      <w:b/>
      <w:bCs/>
      <w:color w:val="00B5E2" w:themeColor="accent1"/>
    </w:rPr>
  </w:style>
  <w:style w:type="paragraph" w:customStyle="1" w:styleId="Source">
    <w:name w:val="Source"/>
    <w:basedOn w:val="Normal"/>
    <w:uiPriority w:val="26"/>
    <w:qFormat/>
    <w:rsid w:val="00F4332F"/>
    <w:pPr>
      <w:spacing w:after="120"/>
    </w:pPr>
    <w:rPr>
      <w:i/>
      <w:sz w:val="16"/>
    </w:rPr>
  </w:style>
  <w:style w:type="paragraph" w:styleId="FootnoteText">
    <w:name w:val="footnote text"/>
    <w:basedOn w:val="Normal"/>
    <w:link w:val="FootnoteTextChar"/>
    <w:uiPriority w:val="99"/>
    <w:semiHidden/>
    <w:unhideWhenUsed/>
    <w:rsid w:val="00253171"/>
    <w:pPr>
      <w:spacing w:line="240" w:lineRule="auto"/>
    </w:pPr>
    <w:rPr>
      <w:sz w:val="16"/>
      <w:szCs w:val="20"/>
    </w:rPr>
  </w:style>
  <w:style w:type="character" w:customStyle="1" w:styleId="FootnoteTextChar">
    <w:name w:val="Footnote Text Char"/>
    <w:basedOn w:val="DefaultParagraphFont"/>
    <w:link w:val="FootnoteText"/>
    <w:uiPriority w:val="99"/>
    <w:semiHidden/>
    <w:rsid w:val="00F66A91"/>
    <w:rPr>
      <w:kern w:val="18"/>
      <w:sz w:val="16"/>
      <w:szCs w:val="20"/>
    </w:rPr>
  </w:style>
  <w:style w:type="character" w:styleId="FootnoteReference">
    <w:name w:val="footnote reference"/>
    <w:basedOn w:val="DefaultParagraphFont"/>
    <w:uiPriority w:val="99"/>
    <w:semiHidden/>
    <w:unhideWhenUsed/>
    <w:rsid w:val="00F27E4A"/>
    <w:rPr>
      <w:rFonts w:asciiTheme="majorHAnsi" w:hAnsiTheme="majorHAnsi"/>
      <w:color w:val="auto"/>
      <w:vertAlign w:val="superscript"/>
    </w:rPr>
  </w:style>
  <w:style w:type="paragraph" w:customStyle="1" w:styleId="Appendix">
    <w:name w:val="Appendix"/>
    <w:basedOn w:val="Heading1"/>
    <w:next w:val="BodyText"/>
    <w:uiPriority w:val="7"/>
    <w:qFormat/>
    <w:rsid w:val="006A3705"/>
    <w:pPr>
      <w:pageBreakBefore/>
      <w:numPr>
        <w:numId w:val="20"/>
      </w:numPr>
    </w:pPr>
  </w:style>
  <w:style w:type="character" w:styleId="Hyperlink">
    <w:name w:val="Hyperlink"/>
    <w:basedOn w:val="DefaultParagraphFont"/>
    <w:uiPriority w:val="27"/>
    <w:qFormat/>
    <w:rsid w:val="00F15F1A"/>
    <w:rPr>
      <w:color w:val="00B5E2" w:themeColor="accent1"/>
      <w:u w:val="single"/>
    </w:rPr>
  </w:style>
  <w:style w:type="character" w:styleId="FollowedHyperlink">
    <w:name w:val="FollowedHyperlink"/>
    <w:basedOn w:val="DefaultParagraphFont"/>
    <w:uiPriority w:val="28"/>
    <w:qFormat/>
    <w:rsid w:val="00F15F1A"/>
    <w:rPr>
      <w:color w:val="84BD00" w:themeColor="accent2"/>
      <w:u w:val="single"/>
    </w:rPr>
  </w:style>
  <w:style w:type="table" w:styleId="ColorfulGrid">
    <w:name w:val="Colorful Grid"/>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6F3FF" w:themeFill="accent1" w:themeFillTint="33"/>
    </w:tcPr>
    <w:tblStylePr w:type="firstRow">
      <w:rPr>
        <w:b/>
        <w:bCs/>
      </w:rPr>
      <w:tblPr/>
      <w:tcPr>
        <w:shd w:val="clear" w:color="auto" w:fill="8DE8FF" w:themeFill="accent1" w:themeFillTint="66"/>
      </w:tcPr>
    </w:tblStylePr>
    <w:tblStylePr w:type="lastRow">
      <w:rPr>
        <w:b/>
        <w:bCs/>
        <w:color w:val="000000" w:themeColor="text1"/>
      </w:rPr>
      <w:tblPr/>
      <w:tcPr>
        <w:shd w:val="clear" w:color="auto" w:fill="8DE8FF" w:themeFill="accent1" w:themeFillTint="66"/>
      </w:tcPr>
    </w:tblStylePr>
    <w:tblStylePr w:type="firstCol">
      <w:rPr>
        <w:color w:val="FFFFFF" w:themeColor="background1"/>
      </w:rPr>
      <w:tblPr/>
      <w:tcPr>
        <w:shd w:val="clear" w:color="auto" w:fill="0087A9" w:themeFill="accent1" w:themeFillShade="BF"/>
      </w:tcPr>
    </w:tblStylePr>
    <w:tblStylePr w:type="lastCol">
      <w:rPr>
        <w:color w:val="FFFFFF" w:themeColor="background1"/>
      </w:rPr>
      <w:tblPr/>
      <w:tcPr>
        <w:shd w:val="clear" w:color="auto" w:fill="0087A9" w:themeFill="accent1" w:themeFillShade="BF"/>
      </w:tc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ColorfulGrid-Accent2">
    <w:name w:val="Colorful Grid Accent 2"/>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BFFBE" w:themeFill="accent2" w:themeFillTint="33"/>
    </w:tcPr>
    <w:tblStylePr w:type="firstRow">
      <w:rPr>
        <w:b/>
        <w:bCs/>
      </w:rPr>
      <w:tblPr/>
      <w:tcPr>
        <w:shd w:val="clear" w:color="auto" w:fill="D8FF7E" w:themeFill="accent2" w:themeFillTint="66"/>
      </w:tcPr>
    </w:tblStylePr>
    <w:tblStylePr w:type="lastRow">
      <w:rPr>
        <w:b/>
        <w:bCs/>
        <w:color w:val="000000" w:themeColor="text1"/>
      </w:rPr>
      <w:tblPr/>
      <w:tcPr>
        <w:shd w:val="clear" w:color="auto" w:fill="D8FF7E" w:themeFill="accent2" w:themeFillTint="66"/>
      </w:tcPr>
    </w:tblStylePr>
    <w:tblStylePr w:type="firstCol">
      <w:rPr>
        <w:color w:val="FFFFFF" w:themeColor="background1"/>
      </w:rPr>
      <w:tblPr/>
      <w:tcPr>
        <w:shd w:val="clear" w:color="auto" w:fill="628D00" w:themeFill="accent2" w:themeFillShade="BF"/>
      </w:tcPr>
    </w:tblStylePr>
    <w:tblStylePr w:type="lastCol">
      <w:rPr>
        <w:color w:val="FFFFFF" w:themeColor="background1"/>
      </w:rPr>
      <w:tblPr/>
      <w:tcPr>
        <w:shd w:val="clear" w:color="auto" w:fill="628D00" w:themeFill="accent2" w:themeFillShade="BF"/>
      </w:tc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ColorfulGrid-Accent3">
    <w:name w:val="Colorful Grid Accent 3"/>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DE7D2" w:themeFill="accent3" w:themeFillTint="33"/>
    </w:tcPr>
    <w:tblStylePr w:type="firstRow">
      <w:rPr>
        <w:b/>
        <w:bCs/>
      </w:rPr>
      <w:tblPr/>
      <w:tcPr>
        <w:shd w:val="clear" w:color="auto" w:fill="FBD0A5" w:themeFill="accent3" w:themeFillTint="66"/>
      </w:tcPr>
    </w:tblStylePr>
    <w:tblStylePr w:type="lastRow">
      <w:rPr>
        <w:b/>
        <w:bCs/>
        <w:color w:val="000000" w:themeColor="text1"/>
      </w:rPr>
      <w:tblPr/>
      <w:tcPr>
        <w:shd w:val="clear" w:color="auto" w:fill="FBD0A5" w:themeFill="accent3" w:themeFillTint="66"/>
      </w:tcPr>
    </w:tblStylePr>
    <w:tblStylePr w:type="firstCol">
      <w:rPr>
        <w:color w:val="FFFFFF" w:themeColor="background1"/>
      </w:rPr>
      <w:tblPr/>
      <w:tcPr>
        <w:shd w:val="clear" w:color="auto" w:fill="C76808" w:themeFill="accent3" w:themeFillShade="BF"/>
      </w:tcPr>
    </w:tblStylePr>
    <w:tblStylePr w:type="lastCol">
      <w:rPr>
        <w:color w:val="FFFFFF" w:themeColor="background1"/>
      </w:rPr>
      <w:tblPr/>
      <w:tcPr>
        <w:shd w:val="clear" w:color="auto" w:fill="C76808" w:themeFill="accent3" w:themeFillShade="BF"/>
      </w:tc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ColorfulGrid-Accent4">
    <w:name w:val="Colorful Grid Accent 4"/>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B8F0" w:themeFill="accent4" w:themeFillTint="33"/>
    </w:tcPr>
    <w:tblStylePr w:type="firstRow">
      <w:rPr>
        <w:b/>
        <w:bCs/>
      </w:rPr>
      <w:tblPr/>
      <w:tcPr>
        <w:shd w:val="clear" w:color="auto" w:fill="FF72E2" w:themeFill="accent4" w:themeFillTint="66"/>
      </w:tcPr>
    </w:tblStylePr>
    <w:tblStylePr w:type="lastRow">
      <w:rPr>
        <w:b/>
        <w:bCs/>
        <w:color w:val="000000" w:themeColor="text1"/>
      </w:rPr>
      <w:tblPr/>
      <w:tcPr>
        <w:shd w:val="clear" w:color="auto" w:fill="FF72E2" w:themeFill="accent4" w:themeFillTint="66"/>
      </w:tcPr>
    </w:tblStylePr>
    <w:tblStylePr w:type="firstCol">
      <w:rPr>
        <w:color w:val="FFFFFF" w:themeColor="background1"/>
      </w:rPr>
      <w:tblPr/>
      <w:tcPr>
        <w:shd w:val="clear" w:color="auto" w:fill="76005E" w:themeFill="accent4" w:themeFillShade="BF"/>
      </w:tcPr>
    </w:tblStylePr>
    <w:tblStylePr w:type="lastCol">
      <w:rPr>
        <w:color w:val="FFFFFF" w:themeColor="background1"/>
      </w:rPr>
      <w:tblPr/>
      <w:tcPr>
        <w:shd w:val="clear" w:color="auto" w:fill="76005E" w:themeFill="accent4" w:themeFillShade="BF"/>
      </w:tc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ColorfulGrid-Accent5">
    <w:name w:val="Colorful Grid Accent 5"/>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F9CF" w:themeFill="accent5" w:themeFillTint="33"/>
    </w:tcPr>
    <w:tblStylePr w:type="firstRow">
      <w:rPr>
        <w:b/>
        <w:bCs/>
      </w:rPr>
      <w:tblPr/>
      <w:tcPr>
        <w:shd w:val="clear" w:color="auto" w:fill="FFF4A0" w:themeFill="accent5" w:themeFillTint="66"/>
      </w:tcPr>
    </w:tblStylePr>
    <w:tblStylePr w:type="lastRow">
      <w:rPr>
        <w:b/>
        <w:bCs/>
        <w:color w:val="000000" w:themeColor="text1"/>
      </w:rPr>
      <w:tblPr/>
      <w:tcPr>
        <w:shd w:val="clear" w:color="auto" w:fill="FFF4A0" w:themeFill="accent5" w:themeFillTint="66"/>
      </w:tcPr>
    </w:tblStylePr>
    <w:tblStylePr w:type="firstCol">
      <w:rPr>
        <w:color w:val="FFFFFF" w:themeColor="background1"/>
      </w:rPr>
      <w:tblPr/>
      <w:tcPr>
        <w:shd w:val="clear" w:color="auto" w:fill="CCB500" w:themeFill="accent5" w:themeFillShade="BF"/>
      </w:tcPr>
    </w:tblStylePr>
    <w:tblStylePr w:type="lastCol">
      <w:rPr>
        <w:color w:val="FFFFFF" w:themeColor="background1"/>
      </w:rPr>
      <w:tblPr/>
      <w:tcPr>
        <w:shd w:val="clear" w:color="auto" w:fill="CCB500" w:themeFill="accent5" w:themeFillShade="BF"/>
      </w:tc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ColorfulGrid-Accent6">
    <w:name w:val="Colorful Grid Accent 6"/>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8E5E4" w:themeFill="accent6" w:themeFillTint="33"/>
    </w:tcPr>
    <w:tblStylePr w:type="firstRow">
      <w:rPr>
        <w:b/>
        <w:bCs/>
      </w:rPr>
      <w:tblPr/>
      <w:tcPr>
        <w:shd w:val="clear" w:color="auto" w:fill="D1CCC9" w:themeFill="accent6" w:themeFillTint="66"/>
      </w:tcPr>
    </w:tblStylePr>
    <w:tblStylePr w:type="lastRow">
      <w:rPr>
        <w:b/>
        <w:bCs/>
        <w:color w:val="000000" w:themeColor="text1"/>
      </w:rPr>
      <w:tblPr/>
      <w:tcPr>
        <w:shd w:val="clear" w:color="auto" w:fill="D1CCC9" w:themeFill="accent6" w:themeFillTint="66"/>
      </w:tcPr>
    </w:tblStylePr>
    <w:tblStylePr w:type="firstCol">
      <w:rPr>
        <w:color w:val="FFFFFF" w:themeColor="background1"/>
      </w:rPr>
      <w:tblPr/>
      <w:tcPr>
        <w:shd w:val="clear" w:color="auto" w:fill="69615A" w:themeFill="accent6" w:themeFillShade="BF"/>
      </w:tcPr>
    </w:tblStylePr>
    <w:tblStylePr w:type="lastCol">
      <w:rPr>
        <w:color w:val="FFFFFF" w:themeColor="background1"/>
      </w:rPr>
      <w:tblPr/>
      <w:tcPr>
        <w:shd w:val="clear" w:color="auto" w:fill="69615A" w:themeFill="accent6" w:themeFillShade="BF"/>
      </w:tc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ColorfulList">
    <w:name w:val="Colorful List"/>
    <w:basedOn w:val="TableNormal"/>
    <w:uiPriority w:val="72"/>
    <w:semiHidden/>
    <w:unhideWhenUsed/>
    <w:rsid w:val="009E6ED7"/>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9E6ED7"/>
    <w:rPr>
      <w:color w:val="000000" w:themeColor="text1"/>
    </w:rPr>
    <w:tblPr>
      <w:tblStyleRowBandSize w:val="1"/>
      <w:tblStyleColBandSize w:val="1"/>
    </w:tblPr>
    <w:tcPr>
      <w:shd w:val="clear" w:color="auto" w:fill="E3F9FF" w:themeFill="accen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8F0FF" w:themeFill="accent1" w:themeFillTint="3F"/>
      </w:tcPr>
    </w:tblStylePr>
    <w:tblStylePr w:type="band1Horz">
      <w:tblPr/>
      <w:tcPr>
        <w:shd w:val="clear" w:color="auto" w:fill="C6F3FF" w:themeFill="accent1" w:themeFillTint="33"/>
      </w:tcPr>
    </w:tblStylePr>
  </w:style>
  <w:style w:type="table" w:styleId="ColorfulList-Accent2">
    <w:name w:val="Colorful List Accent 2"/>
    <w:basedOn w:val="TableNormal"/>
    <w:uiPriority w:val="72"/>
    <w:semiHidden/>
    <w:unhideWhenUsed/>
    <w:rsid w:val="009E6ED7"/>
    <w:rPr>
      <w:color w:val="000000" w:themeColor="text1"/>
    </w:rPr>
    <w:tblPr>
      <w:tblStyleRowBandSize w:val="1"/>
      <w:tblStyleColBandSize w:val="1"/>
    </w:tblPr>
    <w:tcPr>
      <w:shd w:val="clear" w:color="auto" w:fill="F5FFDF" w:themeFill="accent2"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7FFAF" w:themeFill="accent2" w:themeFillTint="3F"/>
      </w:tcPr>
    </w:tblStylePr>
    <w:tblStylePr w:type="band1Horz">
      <w:tblPr/>
      <w:tcPr>
        <w:shd w:val="clear" w:color="auto" w:fill="EBFFBE" w:themeFill="accent2" w:themeFillTint="33"/>
      </w:tcPr>
    </w:tblStylePr>
  </w:style>
  <w:style w:type="table" w:styleId="ColorfulList-Accent3">
    <w:name w:val="Colorful List Accent 3"/>
    <w:basedOn w:val="TableNormal"/>
    <w:uiPriority w:val="72"/>
    <w:semiHidden/>
    <w:unhideWhenUsed/>
    <w:rsid w:val="009E6ED7"/>
    <w:rPr>
      <w:color w:val="000000" w:themeColor="text1"/>
    </w:rPr>
    <w:tblPr>
      <w:tblStyleRowBandSize w:val="1"/>
      <w:tblStyleColBandSize w:val="1"/>
    </w:tblPr>
    <w:tcPr>
      <w:shd w:val="clear" w:color="auto" w:fill="FEF3E8" w:themeFill="accent3" w:themeFillTint="19"/>
    </w:tcPr>
    <w:tblStylePr w:type="firstRow">
      <w:rPr>
        <w:b/>
        <w:bCs/>
        <w:color w:val="FFFFFF" w:themeColor="background1"/>
      </w:rPr>
      <w:tblPr/>
      <w:tcPr>
        <w:tcBorders>
          <w:bottom w:val="single" w:sz="12" w:space="0" w:color="FFFFFF" w:themeColor="background1"/>
        </w:tcBorders>
        <w:shd w:val="clear" w:color="auto" w:fill="7E0064" w:themeFill="accent4" w:themeFillShade="CC"/>
      </w:tcPr>
    </w:tblStylePr>
    <w:tblStylePr w:type="lastRow">
      <w:rPr>
        <w:b/>
        <w:bCs/>
        <w:color w:val="7E0064"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CE2C7" w:themeFill="accent3" w:themeFillTint="3F"/>
      </w:tcPr>
    </w:tblStylePr>
    <w:tblStylePr w:type="band1Horz">
      <w:tblPr/>
      <w:tcPr>
        <w:shd w:val="clear" w:color="auto" w:fill="FDE7D2" w:themeFill="accent3" w:themeFillTint="33"/>
      </w:tcPr>
    </w:tblStylePr>
  </w:style>
  <w:style w:type="table" w:styleId="ColorfulList-Accent4">
    <w:name w:val="Colorful List Accent 4"/>
    <w:basedOn w:val="TableNormal"/>
    <w:uiPriority w:val="72"/>
    <w:semiHidden/>
    <w:unhideWhenUsed/>
    <w:rsid w:val="009E6ED7"/>
    <w:rPr>
      <w:color w:val="000000" w:themeColor="text1"/>
    </w:rPr>
    <w:tblPr>
      <w:tblStyleRowBandSize w:val="1"/>
      <w:tblStyleColBandSize w:val="1"/>
    </w:tblPr>
    <w:tcPr>
      <w:shd w:val="clear" w:color="auto" w:fill="FFDCF7" w:themeFill="accent4" w:themeFillTint="19"/>
    </w:tcPr>
    <w:tblStylePr w:type="firstRow">
      <w:rPr>
        <w:b/>
        <w:bCs/>
        <w:color w:val="FFFFFF" w:themeColor="background1"/>
      </w:rPr>
      <w:tblPr/>
      <w:tcPr>
        <w:tcBorders>
          <w:bottom w:val="single" w:sz="12" w:space="0" w:color="FFFFFF" w:themeColor="background1"/>
        </w:tcBorders>
        <w:shd w:val="clear" w:color="auto" w:fill="D46F08" w:themeFill="accent3" w:themeFillShade="CC"/>
      </w:tcPr>
    </w:tblStylePr>
    <w:tblStylePr w:type="lastRow">
      <w:rPr>
        <w:b/>
        <w:bCs/>
        <w:color w:val="D46F08"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A8ED" w:themeFill="accent4" w:themeFillTint="3F"/>
      </w:tcPr>
    </w:tblStylePr>
    <w:tblStylePr w:type="band1Horz">
      <w:tblPr/>
      <w:tcPr>
        <w:shd w:val="clear" w:color="auto" w:fill="FFB8F0" w:themeFill="accent4" w:themeFillTint="33"/>
      </w:tcPr>
    </w:tblStylePr>
  </w:style>
  <w:style w:type="table" w:styleId="ColorfulList-Accent5">
    <w:name w:val="Colorful List Accent 5"/>
    <w:basedOn w:val="TableNormal"/>
    <w:uiPriority w:val="72"/>
    <w:semiHidden/>
    <w:unhideWhenUsed/>
    <w:rsid w:val="009E6ED7"/>
    <w:rPr>
      <w:color w:val="000000" w:themeColor="text1"/>
    </w:rPr>
    <w:tblPr>
      <w:tblStyleRowBandSize w:val="1"/>
      <w:tblStyleColBandSize w:val="1"/>
    </w:tblPr>
    <w:tcPr>
      <w:shd w:val="clear" w:color="auto" w:fill="FFFCE7" w:themeFill="accent5" w:themeFillTint="19"/>
    </w:tcPr>
    <w:tblStylePr w:type="firstRow">
      <w:rPr>
        <w:b/>
        <w:bCs/>
        <w:color w:val="FFFFFF" w:themeColor="background1"/>
      </w:rPr>
      <w:tblPr/>
      <w:tcPr>
        <w:tcBorders>
          <w:bottom w:val="single" w:sz="12" w:space="0" w:color="FFFFFF" w:themeColor="background1"/>
        </w:tcBorders>
        <w:shd w:val="clear" w:color="auto" w:fill="706760" w:themeFill="accent6" w:themeFillShade="CC"/>
      </w:tcPr>
    </w:tblStylePr>
    <w:tblStylePr w:type="lastRow">
      <w:rPr>
        <w:b/>
        <w:bCs/>
        <w:color w:val="706760"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F8C4" w:themeFill="accent5" w:themeFillTint="3F"/>
      </w:tcPr>
    </w:tblStylePr>
    <w:tblStylePr w:type="band1Horz">
      <w:tblPr/>
      <w:tcPr>
        <w:shd w:val="clear" w:color="auto" w:fill="FFF9CF" w:themeFill="accent5" w:themeFillTint="33"/>
      </w:tcPr>
    </w:tblStylePr>
  </w:style>
  <w:style w:type="table" w:styleId="ColorfulList-Accent6">
    <w:name w:val="Colorful List Accent 6"/>
    <w:basedOn w:val="TableNormal"/>
    <w:uiPriority w:val="72"/>
    <w:semiHidden/>
    <w:unhideWhenUsed/>
    <w:rsid w:val="009E6ED7"/>
    <w:rPr>
      <w:color w:val="000000" w:themeColor="text1"/>
    </w:rPr>
    <w:tblPr>
      <w:tblStyleRowBandSize w:val="1"/>
      <w:tblStyleColBandSize w:val="1"/>
    </w:tblPr>
    <w:tcPr>
      <w:shd w:val="clear" w:color="auto" w:fill="F3F2F1" w:themeFill="accent6" w:themeFillTint="19"/>
    </w:tcPr>
    <w:tblStylePr w:type="firstRow">
      <w:rPr>
        <w:b/>
        <w:bCs/>
        <w:color w:val="FFFFFF" w:themeColor="background1"/>
      </w:rPr>
      <w:tblPr/>
      <w:tcPr>
        <w:tcBorders>
          <w:bottom w:val="single" w:sz="12" w:space="0" w:color="FFFFFF" w:themeColor="background1"/>
        </w:tcBorders>
        <w:shd w:val="clear" w:color="auto" w:fill="DAC200" w:themeFill="accent5" w:themeFillShade="CC"/>
      </w:tcPr>
    </w:tblStylePr>
    <w:tblStylePr w:type="lastRow">
      <w:rPr>
        <w:b/>
        <w:bCs/>
        <w:color w:val="DAC200"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2E0DD" w:themeFill="accent6" w:themeFillTint="3F"/>
      </w:tcPr>
    </w:tblStylePr>
    <w:tblStylePr w:type="band1Horz">
      <w:tblPr/>
      <w:tcPr>
        <w:shd w:val="clear" w:color="auto" w:fill="E8E5E4" w:themeFill="accent6" w:themeFillTint="33"/>
      </w:tcPr>
    </w:tblStylePr>
  </w:style>
  <w:style w:type="table" w:styleId="ColorfulShading">
    <w:name w:val="Colorful Shading"/>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B5E2" w:themeColor="accent1"/>
        <w:bottom w:val="single" w:sz="4" w:space="0" w:color="00B5E2" w:themeColor="accent1"/>
        <w:right w:val="single" w:sz="4" w:space="0" w:color="00B5E2" w:themeColor="accent1"/>
        <w:insideH w:val="single" w:sz="4" w:space="0" w:color="FFFFFF" w:themeColor="background1"/>
        <w:insideV w:val="single" w:sz="4" w:space="0" w:color="FFFFFF" w:themeColor="background1"/>
      </w:tblBorders>
    </w:tblPr>
    <w:tcPr>
      <w:shd w:val="clear" w:color="auto" w:fill="E3F9FF" w:themeFill="accen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6C87" w:themeFill="accent1" w:themeFillShade="99"/>
      </w:tcPr>
    </w:tblStylePr>
    <w:tblStylePr w:type="firstCol">
      <w:rPr>
        <w:color w:val="FFFFFF" w:themeColor="background1"/>
      </w:rPr>
      <w:tblPr/>
      <w:tcPr>
        <w:tcBorders>
          <w:top w:val="nil"/>
          <w:left w:val="nil"/>
          <w:bottom w:val="nil"/>
          <w:right w:val="nil"/>
          <w:insideH w:val="single" w:sz="4" w:space="0" w:color="006C87" w:themeColor="accent1" w:themeShade="99"/>
          <w:insideV w:val="nil"/>
        </w:tcBorders>
        <w:shd w:val="clear" w:color="auto" w:fill="006C87"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006C87" w:themeFill="accent1" w:themeFillShade="99"/>
      </w:tcPr>
    </w:tblStylePr>
    <w:tblStylePr w:type="band1Vert">
      <w:tblPr/>
      <w:tcPr>
        <w:shd w:val="clear" w:color="auto" w:fill="8DE8FF" w:themeFill="accent1" w:themeFillTint="66"/>
      </w:tcPr>
    </w:tblStylePr>
    <w:tblStylePr w:type="band1Horz">
      <w:tblPr/>
      <w:tcPr>
        <w:shd w:val="clear" w:color="auto" w:fill="71E2FF"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84BD00" w:themeColor="accent2"/>
        <w:bottom w:val="single" w:sz="4" w:space="0" w:color="84BD00" w:themeColor="accent2"/>
        <w:right w:val="single" w:sz="4" w:space="0" w:color="84BD00" w:themeColor="accent2"/>
        <w:insideH w:val="single" w:sz="4" w:space="0" w:color="FFFFFF" w:themeColor="background1"/>
        <w:insideV w:val="single" w:sz="4" w:space="0" w:color="FFFFFF" w:themeColor="background1"/>
      </w:tblBorders>
    </w:tblPr>
    <w:tcPr>
      <w:shd w:val="clear" w:color="auto" w:fill="F5FFDF" w:themeFill="accent2"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F7100" w:themeFill="accent2" w:themeFillShade="99"/>
      </w:tcPr>
    </w:tblStylePr>
    <w:tblStylePr w:type="firstCol">
      <w:rPr>
        <w:color w:val="FFFFFF" w:themeColor="background1"/>
      </w:rPr>
      <w:tblPr/>
      <w:tcPr>
        <w:tcBorders>
          <w:top w:val="nil"/>
          <w:left w:val="nil"/>
          <w:bottom w:val="nil"/>
          <w:right w:val="nil"/>
          <w:insideH w:val="single" w:sz="4" w:space="0" w:color="4F7100" w:themeColor="accent2" w:themeShade="99"/>
          <w:insideV w:val="nil"/>
        </w:tcBorders>
        <w:shd w:val="clear" w:color="auto" w:fill="4F7100"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4F7100" w:themeFill="accent2" w:themeFillShade="99"/>
      </w:tcPr>
    </w:tblStylePr>
    <w:tblStylePr w:type="band1Vert">
      <w:tblPr/>
      <w:tcPr>
        <w:shd w:val="clear" w:color="auto" w:fill="D8FF7E" w:themeFill="accent2" w:themeFillTint="66"/>
      </w:tcPr>
    </w:tblStylePr>
    <w:tblStylePr w:type="band1Horz">
      <w:tblPr/>
      <w:tcPr>
        <w:shd w:val="clear" w:color="auto" w:fill="CEFF5F"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9E6ED7"/>
    <w:rPr>
      <w:color w:val="000000" w:themeColor="text1"/>
    </w:rPr>
    <w:tblPr>
      <w:tblStyleRowBandSize w:val="1"/>
      <w:tblStyleColBandSize w:val="1"/>
      <w:tblBorders>
        <w:top w:val="single" w:sz="24" w:space="0" w:color="9E007E" w:themeColor="accent4"/>
        <w:left w:val="single" w:sz="4" w:space="0" w:color="F68B1F" w:themeColor="accent3"/>
        <w:bottom w:val="single" w:sz="4" w:space="0" w:color="F68B1F" w:themeColor="accent3"/>
        <w:right w:val="single" w:sz="4" w:space="0" w:color="F68B1F" w:themeColor="accent3"/>
        <w:insideH w:val="single" w:sz="4" w:space="0" w:color="FFFFFF" w:themeColor="background1"/>
        <w:insideV w:val="single" w:sz="4" w:space="0" w:color="FFFFFF" w:themeColor="background1"/>
      </w:tblBorders>
    </w:tblPr>
    <w:tcPr>
      <w:shd w:val="clear" w:color="auto" w:fill="FEF3E8" w:themeFill="accent3" w:themeFillTint="19"/>
    </w:tcPr>
    <w:tblStylePr w:type="firstRow">
      <w:rPr>
        <w:b/>
        <w:bCs/>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F5306" w:themeFill="accent3" w:themeFillShade="99"/>
      </w:tcPr>
    </w:tblStylePr>
    <w:tblStylePr w:type="firstCol">
      <w:rPr>
        <w:color w:val="FFFFFF" w:themeColor="background1"/>
      </w:rPr>
      <w:tblPr/>
      <w:tcPr>
        <w:tcBorders>
          <w:top w:val="nil"/>
          <w:left w:val="nil"/>
          <w:bottom w:val="nil"/>
          <w:right w:val="nil"/>
          <w:insideH w:val="single" w:sz="4" w:space="0" w:color="9F5306" w:themeColor="accent3" w:themeShade="99"/>
          <w:insideV w:val="nil"/>
        </w:tcBorders>
        <w:shd w:val="clear" w:color="auto" w:fill="9F5306"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9F5306" w:themeFill="accent3" w:themeFillShade="99"/>
      </w:tcPr>
    </w:tblStylePr>
    <w:tblStylePr w:type="band1Vert">
      <w:tblPr/>
      <w:tcPr>
        <w:shd w:val="clear" w:color="auto" w:fill="FBD0A5" w:themeFill="accent3" w:themeFillTint="66"/>
      </w:tcPr>
    </w:tblStylePr>
    <w:tblStylePr w:type="band1Horz">
      <w:tblPr/>
      <w:tcPr>
        <w:shd w:val="clear" w:color="auto" w:fill="FAC58F" w:themeFill="accent3" w:themeFillTint="7F"/>
      </w:tcPr>
    </w:tblStylePr>
  </w:style>
  <w:style w:type="table" w:styleId="ColorfulShading-Accent4">
    <w:name w:val="Colorful Shading Accent 4"/>
    <w:basedOn w:val="TableNormal"/>
    <w:uiPriority w:val="71"/>
    <w:semiHidden/>
    <w:unhideWhenUsed/>
    <w:rsid w:val="009E6ED7"/>
    <w:rPr>
      <w:color w:val="000000" w:themeColor="text1"/>
    </w:rPr>
    <w:tblPr>
      <w:tblStyleRowBandSize w:val="1"/>
      <w:tblStyleColBandSize w:val="1"/>
      <w:tblBorders>
        <w:top w:val="single" w:sz="24" w:space="0" w:color="F68B1F" w:themeColor="accent3"/>
        <w:left w:val="single" w:sz="4" w:space="0" w:color="9E007E" w:themeColor="accent4"/>
        <w:bottom w:val="single" w:sz="4" w:space="0" w:color="9E007E" w:themeColor="accent4"/>
        <w:right w:val="single" w:sz="4" w:space="0" w:color="9E007E" w:themeColor="accent4"/>
        <w:insideH w:val="single" w:sz="4" w:space="0" w:color="FFFFFF" w:themeColor="background1"/>
        <w:insideV w:val="single" w:sz="4" w:space="0" w:color="FFFFFF" w:themeColor="background1"/>
      </w:tblBorders>
    </w:tblPr>
    <w:tcPr>
      <w:shd w:val="clear" w:color="auto" w:fill="FFDCF7" w:themeFill="accent4" w:themeFillTint="19"/>
    </w:tcPr>
    <w:tblStylePr w:type="firstRow">
      <w:rPr>
        <w:b/>
        <w:bCs/>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004B" w:themeFill="accent4" w:themeFillShade="99"/>
      </w:tcPr>
    </w:tblStylePr>
    <w:tblStylePr w:type="firstCol">
      <w:rPr>
        <w:color w:val="FFFFFF" w:themeColor="background1"/>
      </w:rPr>
      <w:tblPr/>
      <w:tcPr>
        <w:tcBorders>
          <w:top w:val="nil"/>
          <w:left w:val="nil"/>
          <w:bottom w:val="nil"/>
          <w:right w:val="nil"/>
          <w:insideH w:val="single" w:sz="4" w:space="0" w:color="5E004B" w:themeColor="accent4" w:themeShade="99"/>
          <w:insideV w:val="nil"/>
        </w:tcBorders>
        <w:shd w:val="clear" w:color="auto" w:fill="5E004B"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5E004B" w:themeFill="accent4" w:themeFillShade="99"/>
      </w:tcPr>
    </w:tblStylePr>
    <w:tblStylePr w:type="band1Vert">
      <w:tblPr/>
      <w:tcPr>
        <w:shd w:val="clear" w:color="auto" w:fill="FF72E2" w:themeFill="accent4" w:themeFillTint="66"/>
      </w:tcPr>
    </w:tblStylePr>
    <w:tblStylePr w:type="band1Horz">
      <w:tblPr/>
      <w:tcPr>
        <w:shd w:val="clear" w:color="auto" w:fill="FF4FDB"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9E6ED7"/>
    <w:rPr>
      <w:color w:val="000000" w:themeColor="text1"/>
    </w:rPr>
    <w:tblPr>
      <w:tblStyleRowBandSize w:val="1"/>
      <w:tblStyleColBandSize w:val="1"/>
      <w:tblBorders>
        <w:top w:val="single" w:sz="24" w:space="0" w:color="8C8279" w:themeColor="accent6"/>
        <w:left w:val="single" w:sz="4" w:space="0" w:color="FFE512" w:themeColor="accent5"/>
        <w:bottom w:val="single" w:sz="4" w:space="0" w:color="FFE512" w:themeColor="accent5"/>
        <w:right w:val="single" w:sz="4" w:space="0" w:color="FFE512" w:themeColor="accent5"/>
        <w:insideH w:val="single" w:sz="4" w:space="0" w:color="FFFFFF" w:themeColor="background1"/>
        <w:insideV w:val="single" w:sz="4" w:space="0" w:color="FFFFFF" w:themeColor="background1"/>
      </w:tblBorders>
    </w:tblPr>
    <w:tcPr>
      <w:shd w:val="clear" w:color="auto" w:fill="FFFCE7" w:themeFill="accent5" w:themeFillTint="19"/>
    </w:tcPr>
    <w:tblStylePr w:type="firstRow">
      <w:rPr>
        <w:b/>
        <w:bCs/>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A39100" w:themeFill="accent5" w:themeFillShade="99"/>
      </w:tcPr>
    </w:tblStylePr>
    <w:tblStylePr w:type="firstCol">
      <w:rPr>
        <w:color w:val="FFFFFF" w:themeColor="background1"/>
      </w:rPr>
      <w:tblPr/>
      <w:tcPr>
        <w:tcBorders>
          <w:top w:val="nil"/>
          <w:left w:val="nil"/>
          <w:bottom w:val="nil"/>
          <w:right w:val="nil"/>
          <w:insideH w:val="single" w:sz="4" w:space="0" w:color="A39100" w:themeColor="accent5" w:themeShade="99"/>
          <w:insideV w:val="nil"/>
        </w:tcBorders>
        <w:shd w:val="clear" w:color="auto" w:fill="A39100"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A39100" w:themeFill="accent5" w:themeFillShade="99"/>
      </w:tcPr>
    </w:tblStylePr>
    <w:tblStylePr w:type="band1Vert">
      <w:tblPr/>
      <w:tcPr>
        <w:shd w:val="clear" w:color="auto" w:fill="FFF4A0" w:themeFill="accent5" w:themeFillTint="66"/>
      </w:tcPr>
    </w:tblStylePr>
    <w:tblStylePr w:type="band1Horz">
      <w:tblPr/>
      <w:tcPr>
        <w:shd w:val="clear" w:color="auto" w:fill="FFF288"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9E6ED7"/>
    <w:rPr>
      <w:color w:val="000000" w:themeColor="text1"/>
    </w:rPr>
    <w:tblPr>
      <w:tblStyleRowBandSize w:val="1"/>
      <w:tblStyleColBandSize w:val="1"/>
      <w:tblBorders>
        <w:top w:val="single" w:sz="24" w:space="0" w:color="FFE512" w:themeColor="accent5"/>
        <w:left w:val="single" w:sz="4" w:space="0" w:color="8C8279" w:themeColor="accent6"/>
        <w:bottom w:val="single" w:sz="4" w:space="0" w:color="8C8279" w:themeColor="accent6"/>
        <w:right w:val="single" w:sz="4" w:space="0" w:color="8C8279" w:themeColor="accent6"/>
        <w:insideH w:val="single" w:sz="4" w:space="0" w:color="FFFFFF" w:themeColor="background1"/>
        <w:insideV w:val="single" w:sz="4" w:space="0" w:color="FFFFFF" w:themeColor="background1"/>
      </w:tblBorders>
    </w:tblPr>
    <w:tcPr>
      <w:shd w:val="clear" w:color="auto" w:fill="F3F2F1" w:themeFill="accent6" w:themeFillTint="19"/>
    </w:tcPr>
    <w:tblStylePr w:type="firstRow">
      <w:rPr>
        <w:b/>
        <w:bCs/>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44D48" w:themeFill="accent6" w:themeFillShade="99"/>
      </w:tcPr>
    </w:tblStylePr>
    <w:tblStylePr w:type="firstCol">
      <w:rPr>
        <w:color w:val="FFFFFF" w:themeColor="background1"/>
      </w:rPr>
      <w:tblPr/>
      <w:tcPr>
        <w:tcBorders>
          <w:top w:val="nil"/>
          <w:left w:val="nil"/>
          <w:bottom w:val="nil"/>
          <w:right w:val="nil"/>
          <w:insideH w:val="single" w:sz="4" w:space="0" w:color="544D48" w:themeColor="accent6" w:themeShade="99"/>
          <w:insideV w:val="nil"/>
        </w:tcBorders>
        <w:shd w:val="clear" w:color="auto" w:fill="544D4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544D48" w:themeFill="accent6" w:themeFillShade="99"/>
      </w:tcPr>
    </w:tblStylePr>
    <w:tblStylePr w:type="band1Vert">
      <w:tblPr/>
      <w:tcPr>
        <w:shd w:val="clear" w:color="auto" w:fill="D1CCC9" w:themeFill="accent6" w:themeFillTint="66"/>
      </w:tcPr>
    </w:tblStylePr>
    <w:tblStylePr w:type="band1Horz">
      <w:tblPr/>
      <w:tcPr>
        <w:shd w:val="clear" w:color="auto" w:fill="C5C0BC"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unhideWhenUsed/>
    <w:rsid w:val="009E6ED7"/>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9E6ED7"/>
    <w:rPr>
      <w:color w:val="FFFFFF" w:themeColor="background1"/>
    </w:rPr>
    <w:tblPr>
      <w:tblStyleRowBandSize w:val="1"/>
      <w:tblStyleColBandSize w:val="1"/>
    </w:tblPr>
    <w:tcPr>
      <w:shd w:val="clear" w:color="auto" w:fill="00B5E2"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597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0087A9"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0087A9" w:themeFill="accent1" w:themeFillShade="BF"/>
      </w:tcPr>
    </w:tblStylePr>
    <w:tblStylePr w:type="band1Vert">
      <w:tblPr/>
      <w:tcPr>
        <w:tcBorders>
          <w:top w:val="nil"/>
          <w:left w:val="nil"/>
          <w:bottom w:val="nil"/>
          <w:right w:val="nil"/>
          <w:insideH w:val="nil"/>
          <w:insideV w:val="nil"/>
        </w:tcBorders>
        <w:shd w:val="clear" w:color="auto" w:fill="0087A9" w:themeFill="accent1" w:themeFillShade="BF"/>
      </w:tcPr>
    </w:tblStylePr>
    <w:tblStylePr w:type="band1Horz">
      <w:tblPr/>
      <w:tcPr>
        <w:tcBorders>
          <w:top w:val="nil"/>
          <w:left w:val="nil"/>
          <w:bottom w:val="nil"/>
          <w:right w:val="nil"/>
          <w:insideH w:val="nil"/>
          <w:insideV w:val="nil"/>
        </w:tcBorders>
        <w:shd w:val="clear" w:color="auto" w:fill="0087A9" w:themeFill="accent1" w:themeFillShade="BF"/>
      </w:tcPr>
    </w:tblStylePr>
  </w:style>
  <w:style w:type="table" w:styleId="DarkList-Accent2">
    <w:name w:val="Dark List Accent 2"/>
    <w:basedOn w:val="TableNormal"/>
    <w:uiPriority w:val="70"/>
    <w:semiHidden/>
    <w:unhideWhenUsed/>
    <w:rsid w:val="009E6ED7"/>
    <w:rPr>
      <w:color w:val="FFFFFF" w:themeColor="background1"/>
    </w:rPr>
    <w:tblPr>
      <w:tblStyleRowBandSize w:val="1"/>
      <w:tblStyleColBandSize w:val="1"/>
    </w:tblPr>
    <w:tcPr>
      <w:shd w:val="clear" w:color="auto" w:fill="84BD00"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15E00"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628D00"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628D00" w:themeFill="accent2" w:themeFillShade="BF"/>
      </w:tcPr>
    </w:tblStylePr>
    <w:tblStylePr w:type="band1Vert">
      <w:tblPr/>
      <w:tcPr>
        <w:tcBorders>
          <w:top w:val="nil"/>
          <w:left w:val="nil"/>
          <w:bottom w:val="nil"/>
          <w:right w:val="nil"/>
          <w:insideH w:val="nil"/>
          <w:insideV w:val="nil"/>
        </w:tcBorders>
        <w:shd w:val="clear" w:color="auto" w:fill="628D00" w:themeFill="accent2" w:themeFillShade="BF"/>
      </w:tcPr>
    </w:tblStylePr>
    <w:tblStylePr w:type="band1Horz">
      <w:tblPr/>
      <w:tcPr>
        <w:tcBorders>
          <w:top w:val="nil"/>
          <w:left w:val="nil"/>
          <w:bottom w:val="nil"/>
          <w:right w:val="nil"/>
          <w:insideH w:val="nil"/>
          <w:insideV w:val="nil"/>
        </w:tcBorders>
        <w:shd w:val="clear" w:color="auto" w:fill="628D00" w:themeFill="accent2" w:themeFillShade="BF"/>
      </w:tcPr>
    </w:tblStylePr>
  </w:style>
  <w:style w:type="table" w:styleId="DarkList-Accent3">
    <w:name w:val="Dark List Accent 3"/>
    <w:basedOn w:val="TableNormal"/>
    <w:uiPriority w:val="70"/>
    <w:semiHidden/>
    <w:unhideWhenUsed/>
    <w:rsid w:val="009E6ED7"/>
    <w:rPr>
      <w:color w:val="FFFFFF" w:themeColor="background1"/>
    </w:rPr>
    <w:tblPr>
      <w:tblStyleRowBandSize w:val="1"/>
      <w:tblStyleColBandSize w:val="1"/>
    </w:tblPr>
    <w:tcPr>
      <w:shd w:val="clear" w:color="auto" w:fill="F68B1F"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44505"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C76808"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C76808" w:themeFill="accent3" w:themeFillShade="BF"/>
      </w:tcPr>
    </w:tblStylePr>
    <w:tblStylePr w:type="band1Vert">
      <w:tblPr/>
      <w:tcPr>
        <w:tcBorders>
          <w:top w:val="nil"/>
          <w:left w:val="nil"/>
          <w:bottom w:val="nil"/>
          <w:right w:val="nil"/>
          <w:insideH w:val="nil"/>
          <w:insideV w:val="nil"/>
        </w:tcBorders>
        <w:shd w:val="clear" w:color="auto" w:fill="C76808" w:themeFill="accent3" w:themeFillShade="BF"/>
      </w:tcPr>
    </w:tblStylePr>
    <w:tblStylePr w:type="band1Horz">
      <w:tblPr/>
      <w:tcPr>
        <w:tcBorders>
          <w:top w:val="nil"/>
          <w:left w:val="nil"/>
          <w:bottom w:val="nil"/>
          <w:right w:val="nil"/>
          <w:insideH w:val="nil"/>
          <w:insideV w:val="nil"/>
        </w:tcBorders>
        <w:shd w:val="clear" w:color="auto" w:fill="C76808" w:themeFill="accent3" w:themeFillShade="BF"/>
      </w:tcPr>
    </w:tblStylePr>
  </w:style>
  <w:style w:type="table" w:styleId="DarkList-Accent4">
    <w:name w:val="Dark List Accent 4"/>
    <w:basedOn w:val="TableNormal"/>
    <w:uiPriority w:val="70"/>
    <w:semiHidden/>
    <w:unhideWhenUsed/>
    <w:rsid w:val="009E6ED7"/>
    <w:rPr>
      <w:color w:val="FFFFFF" w:themeColor="background1"/>
    </w:rPr>
    <w:tblPr>
      <w:tblStyleRowBandSize w:val="1"/>
      <w:tblStyleColBandSize w:val="1"/>
    </w:tblPr>
    <w:tcPr>
      <w:shd w:val="clear" w:color="auto" w:fill="9E007E"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003E"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76005E"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76005E" w:themeFill="accent4" w:themeFillShade="BF"/>
      </w:tcPr>
    </w:tblStylePr>
    <w:tblStylePr w:type="band1Vert">
      <w:tblPr/>
      <w:tcPr>
        <w:tcBorders>
          <w:top w:val="nil"/>
          <w:left w:val="nil"/>
          <w:bottom w:val="nil"/>
          <w:right w:val="nil"/>
          <w:insideH w:val="nil"/>
          <w:insideV w:val="nil"/>
        </w:tcBorders>
        <w:shd w:val="clear" w:color="auto" w:fill="76005E" w:themeFill="accent4" w:themeFillShade="BF"/>
      </w:tcPr>
    </w:tblStylePr>
    <w:tblStylePr w:type="band1Horz">
      <w:tblPr/>
      <w:tcPr>
        <w:tcBorders>
          <w:top w:val="nil"/>
          <w:left w:val="nil"/>
          <w:bottom w:val="nil"/>
          <w:right w:val="nil"/>
          <w:insideH w:val="nil"/>
          <w:insideV w:val="nil"/>
        </w:tcBorders>
        <w:shd w:val="clear" w:color="auto" w:fill="76005E" w:themeFill="accent4" w:themeFillShade="BF"/>
      </w:tcPr>
    </w:tblStylePr>
  </w:style>
  <w:style w:type="table" w:styleId="DarkList-Accent5">
    <w:name w:val="Dark List Accent 5"/>
    <w:basedOn w:val="TableNormal"/>
    <w:uiPriority w:val="70"/>
    <w:semiHidden/>
    <w:unhideWhenUsed/>
    <w:rsid w:val="009E6ED7"/>
    <w:rPr>
      <w:color w:val="FFFFFF" w:themeColor="background1"/>
    </w:rPr>
    <w:tblPr>
      <w:tblStyleRowBandSize w:val="1"/>
      <w:tblStyleColBandSize w:val="1"/>
    </w:tblPr>
    <w:tcPr>
      <w:shd w:val="clear" w:color="auto" w:fill="FFE512"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77800"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CCB500"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CCB500" w:themeFill="accent5" w:themeFillShade="BF"/>
      </w:tcPr>
    </w:tblStylePr>
    <w:tblStylePr w:type="band1Vert">
      <w:tblPr/>
      <w:tcPr>
        <w:tcBorders>
          <w:top w:val="nil"/>
          <w:left w:val="nil"/>
          <w:bottom w:val="nil"/>
          <w:right w:val="nil"/>
          <w:insideH w:val="nil"/>
          <w:insideV w:val="nil"/>
        </w:tcBorders>
        <w:shd w:val="clear" w:color="auto" w:fill="CCB500" w:themeFill="accent5" w:themeFillShade="BF"/>
      </w:tcPr>
    </w:tblStylePr>
    <w:tblStylePr w:type="band1Horz">
      <w:tblPr/>
      <w:tcPr>
        <w:tcBorders>
          <w:top w:val="nil"/>
          <w:left w:val="nil"/>
          <w:bottom w:val="nil"/>
          <w:right w:val="nil"/>
          <w:insideH w:val="nil"/>
          <w:insideV w:val="nil"/>
        </w:tcBorders>
        <w:shd w:val="clear" w:color="auto" w:fill="CCB500" w:themeFill="accent5" w:themeFillShade="BF"/>
      </w:tcPr>
    </w:tblStylePr>
  </w:style>
  <w:style w:type="table" w:styleId="DarkList-Accent6">
    <w:name w:val="Dark List Accent 6"/>
    <w:basedOn w:val="TableNormal"/>
    <w:uiPriority w:val="70"/>
    <w:semiHidden/>
    <w:unhideWhenUsed/>
    <w:rsid w:val="009E6ED7"/>
    <w:rPr>
      <w:color w:val="FFFFFF" w:themeColor="background1"/>
    </w:rPr>
    <w:tblPr>
      <w:tblStyleRowBandSize w:val="1"/>
      <w:tblStyleColBandSize w:val="1"/>
    </w:tblPr>
    <w:tcPr>
      <w:shd w:val="clear" w:color="auto" w:fill="8C8279"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5403C"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69615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69615A" w:themeFill="accent6" w:themeFillShade="BF"/>
      </w:tcPr>
    </w:tblStylePr>
    <w:tblStylePr w:type="band1Vert">
      <w:tblPr/>
      <w:tcPr>
        <w:tcBorders>
          <w:top w:val="nil"/>
          <w:left w:val="nil"/>
          <w:bottom w:val="nil"/>
          <w:right w:val="nil"/>
          <w:insideH w:val="nil"/>
          <w:insideV w:val="nil"/>
        </w:tcBorders>
        <w:shd w:val="clear" w:color="auto" w:fill="69615A" w:themeFill="accent6" w:themeFillShade="BF"/>
      </w:tcPr>
    </w:tblStylePr>
    <w:tblStylePr w:type="band1Horz">
      <w:tblPr/>
      <w:tcPr>
        <w:tcBorders>
          <w:top w:val="nil"/>
          <w:left w:val="nil"/>
          <w:bottom w:val="nil"/>
          <w:right w:val="nil"/>
          <w:insideH w:val="nil"/>
          <w:insideV w:val="nil"/>
        </w:tcBorders>
        <w:shd w:val="clear" w:color="auto" w:fill="69615A" w:themeFill="accent6" w:themeFillShade="BF"/>
      </w:tcPr>
    </w:tblStylePr>
  </w:style>
  <w:style w:type="table" w:styleId="LightGrid">
    <w:name w:val="Light Grid"/>
    <w:basedOn w:val="TableNormal"/>
    <w:uiPriority w:val="62"/>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18" w:space="0" w:color="00B5E2" w:themeColor="accent1"/>
          <w:right w:val="single" w:sz="8" w:space="0" w:color="00B5E2" w:themeColor="accent1"/>
          <w:insideH w:val="nil"/>
          <w:insideV w:val="single" w:sz="8" w:space="0" w:color="00B5E2"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insideH w:val="nil"/>
          <w:insideV w:val="single" w:sz="8" w:space="0" w:color="00B5E2"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shd w:val="clear" w:color="auto" w:fill="B8F0FF" w:themeFill="accent1" w:themeFillTint="3F"/>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shd w:val="clear" w:color="auto" w:fill="B8F0FF" w:themeFill="accent1" w:themeFillTint="3F"/>
      </w:tcPr>
    </w:tblStylePr>
    <w:tblStylePr w:type="band2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tcPr>
    </w:tblStylePr>
  </w:style>
  <w:style w:type="table" w:styleId="LightGrid-Accent2">
    <w:name w:val="Light Grid Accent 2"/>
    <w:basedOn w:val="TableNormal"/>
    <w:uiPriority w:val="62"/>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18" w:space="0" w:color="84BD00" w:themeColor="accent2"/>
          <w:right w:val="single" w:sz="8" w:space="0" w:color="84BD00" w:themeColor="accent2"/>
          <w:insideH w:val="nil"/>
          <w:insideV w:val="single" w:sz="8" w:space="0" w:color="84BD00"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insideH w:val="nil"/>
          <w:insideV w:val="single" w:sz="8" w:space="0" w:color="84BD00"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shd w:val="clear" w:color="auto" w:fill="E7FFAF" w:themeFill="accent2" w:themeFillTint="3F"/>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shd w:val="clear" w:color="auto" w:fill="E7FFAF" w:themeFill="accent2" w:themeFillTint="3F"/>
      </w:tcPr>
    </w:tblStylePr>
    <w:tblStylePr w:type="band2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tcPr>
    </w:tblStylePr>
  </w:style>
  <w:style w:type="table" w:styleId="LightGrid-Accent3">
    <w:name w:val="Light Grid Accent 3"/>
    <w:basedOn w:val="TableNormal"/>
    <w:uiPriority w:val="62"/>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18" w:space="0" w:color="F68B1F" w:themeColor="accent3"/>
          <w:right w:val="single" w:sz="8" w:space="0" w:color="F68B1F" w:themeColor="accent3"/>
          <w:insideH w:val="nil"/>
          <w:insideV w:val="single" w:sz="8" w:space="0" w:color="F68B1F"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insideH w:val="nil"/>
          <w:insideV w:val="single" w:sz="8" w:space="0" w:color="F68B1F"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shd w:val="clear" w:color="auto" w:fill="FCE2C7" w:themeFill="accent3" w:themeFillTint="3F"/>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shd w:val="clear" w:color="auto" w:fill="FCE2C7" w:themeFill="accent3" w:themeFillTint="3F"/>
      </w:tcPr>
    </w:tblStylePr>
    <w:tblStylePr w:type="band2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tcPr>
    </w:tblStylePr>
  </w:style>
  <w:style w:type="table" w:styleId="LightGrid-Accent4">
    <w:name w:val="Light Grid Accent 4"/>
    <w:basedOn w:val="TableNormal"/>
    <w:uiPriority w:val="62"/>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18" w:space="0" w:color="9E007E" w:themeColor="accent4"/>
          <w:right w:val="single" w:sz="8" w:space="0" w:color="9E007E" w:themeColor="accent4"/>
          <w:insideH w:val="nil"/>
          <w:insideV w:val="single" w:sz="8" w:space="0" w:color="9E007E"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insideH w:val="nil"/>
          <w:insideV w:val="single" w:sz="8" w:space="0" w:color="9E007E"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shd w:val="clear" w:color="auto" w:fill="FFA8ED" w:themeFill="accent4" w:themeFillTint="3F"/>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shd w:val="clear" w:color="auto" w:fill="FFA8ED" w:themeFill="accent4" w:themeFillTint="3F"/>
      </w:tcPr>
    </w:tblStylePr>
    <w:tblStylePr w:type="band2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tcPr>
    </w:tblStylePr>
  </w:style>
  <w:style w:type="table" w:styleId="LightGrid-Accent5">
    <w:name w:val="Light Grid Accent 5"/>
    <w:basedOn w:val="TableNormal"/>
    <w:uiPriority w:val="62"/>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18" w:space="0" w:color="FFE512" w:themeColor="accent5"/>
          <w:right w:val="single" w:sz="8" w:space="0" w:color="FFE512" w:themeColor="accent5"/>
          <w:insideH w:val="nil"/>
          <w:insideV w:val="single" w:sz="8" w:space="0" w:color="FFE512"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insideH w:val="nil"/>
          <w:insideV w:val="single" w:sz="8" w:space="0" w:color="FFE512"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shd w:val="clear" w:color="auto" w:fill="FFF8C4" w:themeFill="accent5" w:themeFillTint="3F"/>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shd w:val="clear" w:color="auto" w:fill="FFF8C4" w:themeFill="accent5" w:themeFillTint="3F"/>
      </w:tcPr>
    </w:tblStylePr>
    <w:tblStylePr w:type="band2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tcPr>
    </w:tblStylePr>
  </w:style>
  <w:style w:type="table" w:styleId="LightGrid-Accent6">
    <w:name w:val="Light Grid Accent 6"/>
    <w:basedOn w:val="TableNormal"/>
    <w:uiPriority w:val="62"/>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18" w:space="0" w:color="8C8279" w:themeColor="accent6"/>
          <w:right w:val="single" w:sz="8" w:space="0" w:color="8C8279" w:themeColor="accent6"/>
          <w:insideH w:val="nil"/>
          <w:insideV w:val="single" w:sz="8" w:space="0" w:color="8C8279"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insideH w:val="nil"/>
          <w:insideV w:val="single" w:sz="8" w:space="0" w:color="8C8279"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shd w:val="clear" w:color="auto" w:fill="E2E0DD" w:themeFill="accent6" w:themeFillTint="3F"/>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shd w:val="clear" w:color="auto" w:fill="E2E0DD" w:themeFill="accent6" w:themeFillTint="3F"/>
      </w:tcPr>
    </w:tblStylePr>
    <w:tblStylePr w:type="band2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tcPr>
    </w:tblStylePr>
  </w:style>
  <w:style w:type="table" w:styleId="LightList">
    <w:name w:val="Light List"/>
    <w:basedOn w:val="TableNormal"/>
    <w:uiPriority w:val="61"/>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pPr>
        <w:spacing w:before="0" w:after="0" w:line="240" w:lineRule="auto"/>
      </w:pPr>
      <w:rPr>
        <w:b/>
        <w:bCs/>
        <w:color w:val="FFFFFF" w:themeColor="background1"/>
      </w:rPr>
      <w:tblPr/>
      <w:tcPr>
        <w:shd w:val="clear" w:color="auto" w:fill="00B5E2" w:themeFill="accent1"/>
      </w:tcPr>
    </w:tblStylePr>
    <w:tblStylePr w:type="lastRow">
      <w:pPr>
        <w:spacing w:before="0" w:after="0" w:line="240" w:lineRule="auto"/>
      </w:pPr>
      <w:rPr>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tcBorders>
      </w:tcPr>
    </w:tblStylePr>
    <w:tblStylePr w:type="firstCol">
      <w:rPr>
        <w:b/>
        <w:bCs/>
      </w:rPr>
    </w:tblStylePr>
    <w:tblStylePr w:type="lastCol">
      <w:rPr>
        <w:b/>
        <w:bCs/>
      </w:r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style>
  <w:style w:type="table" w:styleId="LightList-Accent2">
    <w:name w:val="Light List Accent 2"/>
    <w:basedOn w:val="TableNormal"/>
    <w:uiPriority w:val="61"/>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pPr>
        <w:spacing w:before="0" w:after="0" w:line="240" w:lineRule="auto"/>
      </w:pPr>
      <w:rPr>
        <w:b/>
        <w:bCs/>
        <w:color w:val="FFFFFF" w:themeColor="background1"/>
      </w:rPr>
      <w:tblPr/>
      <w:tcPr>
        <w:shd w:val="clear" w:color="auto" w:fill="84BD00" w:themeFill="accent2"/>
      </w:tcPr>
    </w:tblStylePr>
    <w:tblStylePr w:type="lastRow">
      <w:pPr>
        <w:spacing w:before="0" w:after="0" w:line="240" w:lineRule="auto"/>
      </w:pPr>
      <w:rPr>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tcBorders>
      </w:tcPr>
    </w:tblStylePr>
    <w:tblStylePr w:type="firstCol">
      <w:rPr>
        <w:b/>
        <w:bCs/>
      </w:rPr>
    </w:tblStylePr>
    <w:tblStylePr w:type="lastCol">
      <w:rPr>
        <w:b/>
        <w:bCs/>
      </w:r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style>
  <w:style w:type="table" w:styleId="LightList-Accent3">
    <w:name w:val="Light List Accent 3"/>
    <w:basedOn w:val="TableNormal"/>
    <w:uiPriority w:val="61"/>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pPr>
        <w:spacing w:before="0" w:after="0" w:line="240" w:lineRule="auto"/>
      </w:pPr>
      <w:rPr>
        <w:b/>
        <w:bCs/>
        <w:color w:val="FFFFFF" w:themeColor="background1"/>
      </w:rPr>
      <w:tblPr/>
      <w:tcPr>
        <w:shd w:val="clear" w:color="auto" w:fill="F68B1F" w:themeFill="accent3"/>
      </w:tcPr>
    </w:tblStylePr>
    <w:tblStylePr w:type="lastRow">
      <w:pPr>
        <w:spacing w:before="0" w:after="0" w:line="240" w:lineRule="auto"/>
      </w:pPr>
      <w:rPr>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tcBorders>
      </w:tcPr>
    </w:tblStylePr>
    <w:tblStylePr w:type="firstCol">
      <w:rPr>
        <w:b/>
        <w:bCs/>
      </w:rPr>
    </w:tblStylePr>
    <w:tblStylePr w:type="lastCol">
      <w:rPr>
        <w:b/>
        <w:bCs/>
      </w:r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style>
  <w:style w:type="table" w:styleId="LightList-Accent4">
    <w:name w:val="Light List Accent 4"/>
    <w:basedOn w:val="TableNormal"/>
    <w:uiPriority w:val="61"/>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pPr>
        <w:spacing w:before="0" w:after="0" w:line="240" w:lineRule="auto"/>
      </w:pPr>
      <w:rPr>
        <w:b/>
        <w:bCs/>
        <w:color w:val="FFFFFF" w:themeColor="background1"/>
      </w:rPr>
      <w:tblPr/>
      <w:tcPr>
        <w:shd w:val="clear" w:color="auto" w:fill="9E007E" w:themeFill="accent4"/>
      </w:tcPr>
    </w:tblStylePr>
    <w:tblStylePr w:type="lastRow">
      <w:pPr>
        <w:spacing w:before="0" w:after="0" w:line="240" w:lineRule="auto"/>
      </w:pPr>
      <w:rPr>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tcBorders>
      </w:tcPr>
    </w:tblStylePr>
    <w:tblStylePr w:type="firstCol">
      <w:rPr>
        <w:b/>
        <w:bCs/>
      </w:rPr>
    </w:tblStylePr>
    <w:tblStylePr w:type="lastCol">
      <w:rPr>
        <w:b/>
        <w:bCs/>
      </w:r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style>
  <w:style w:type="table" w:styleId="LightList-Accent5">
    <w:name w:val="Light List Accent 5"/>
    <w:basedOn w:val="TableNormal"/>
    <w:uiPriority w:val="61"/>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pPr>
        <w:spacing w:before="0" w:after="0" w:line="240" w:lineRule="auto"/>
      </w:pPr>
      <w:rPr>
        <w:b/>
        <w:bCs/>
        <w:color w:val="FFFFFF" w:themeColor="background1"/>
      </w:rPr>
      <w:tblPr/>
      <w:tcPr>
        <w:shd w:val="clear" w:color="auto" w:fill="FFE512" w:themeFill="accent5"/>
      </w:tcPr>
    </w:tblStylePr>
    <w:tblStylePr w:type="lastRow">
      <w:pPr>
        <w:spacing w:before="0" w:after="0" w:line="240" w:lineRule="auto"/>
      </w:pPr>
      <w:rPr>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tcBorders>
      </w:tcPr>
    </w:tblStylePr>
    <w:tblStylePr w:type="firstCol">
      <w:rPr>
        <w:b/>
        <w:bCs/>
      </w:rPr>
    </w:tblStylePr>
    <w:tblStylePr w:type="lastCol">
      <w:rPr>
        <w:b/>
        <w:bCs/>
      </w:r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style>
  <w:style w:type="table" w:styleId="LightList-Accent6">
    <w:name w:val="Light List Accent 6"/>
    <w:basedOn w:val="TableNormal"/>
    <w:uiPriority w:val="61"/>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pPr>
        <w:spacing w:before="0" w:after="0" w:line="240" w:lineRule="auto"/>
      </w:pPr>
      <w:rPr>
        <w:b/>
        <w:bCs/>
        <w:color w:val="FFFFFF" w:themeColor="background1"/>
      </w:rPr>
      <w:tblPr/>
      <w:tcPr>
        <w:shd w:val="clear" w:color="auto" w:fill="8C8279" w:themeFill="accent6"/>
      </w:tcPr>
    </w:tblStylePr>
    <w:tblStylePr w:type="lastRow">
      <w:pPr>
        <w:spacing w:before="0" w:after="0" w:line="240" w:lineRule="auto"/>
      </w:pPr>
      <w:rPr>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tcBorders>
      </w:tcPr>
    </w:tblStylePr>
    <w:tblStylePr w:type="firstCol">
      <w:rPr>
        <w:b/>
        <w:bCs/>
      </w:rPr>
    </w:tblStylePr>
    <w:tblStylePr w:type="lastCol">
      <w:rPr>
        <w:b/>
        <w:bCs/>
      </w:r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style>
  <w:style w:type="table" w:styleId="LightShading">
    <w:name w:val="Light Shading"/>
    <w:basedOn w:val="TableNormal"/>
    <w:uiPriority w:val="60"/>
    <w:semiHidden/>
    <w:unhideWhenUsed/>
    <w:rsid w:val="009E6ED7"/>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9E6ED7"/>
    <w:rPr>
      <w:color w:val="0087A9" w:themeColor="accent1" w:themeShade="BF"/>
    </w:rPr>
    <w:tblPr>
      <w:tblStyleRowBandSize w:val="1"/>
      <w:tblStyleColBandSize w:val="1"/>
      <w:tblBorders>
        <w:top w:val="single" w:sz="8" w:space="0" w:color="00B5E2" w:themeColor="accent1"/>
        <w:bottom w:val="single" w:sz="8" w:space="0" w:color="00B5E2" w:themeColor="accent1"/>
      </w:tblBorders>
    </w:tblPr>
    <w:tblStylePr w:type="fir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la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left w:val="nil"/>
          <w:right w:val="nil"/>
          <w:insideH w:val="nil"/>
          <w:insideV w:val="nil"/>
        </w:tcBorders>
        <w:shd w:val="clear" w:color="auto" w:fill="B8F0FF" w:themeFill="accent1" w:themeFillTint="3F"/>
      </w:tcPr>
    </w:tblStylePr>
  </w:style>
  <w:style w:type="table" w:styleId="LightShading-Accent2">
    <w:name w:val="Light Shading Accent 2"/>
    <w:basedOn w:val="TableNormal"/>
    <w:uiPriority w:val="60"/>
    <w:semiHidden/>
    <w:unhideWhenUsed/>
    <w:rsid w:val="009E6ED7"/>
    <w:rPr>
      <w:color w:val="628D00" w:themeColor="accent2" w:themeShade="BF"/>
    </w:rPr>
    <w:tblPr>
      <w:tblStyleRowBandSize w:val="1"/>
      <w:tblStyleColBandSize w:val="1"/>
      <w:tblBorders>
        <w:top w:val="single" w:sz="8" w:space="0" w:color="84BD00" w:themeColor="accent2"/>
        <w:bottom w:val="single" w:sz="8" w:space="0" w:color="84BD00" w:themeColor="accent2"/>
      </w:tblBorders>
    </w:tblPr>
    <w:tblStylePr w:type="fir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la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left w:val="nil"/>
          <w:right w:val="nil"/>
          <w:insideH w:val="nil"/>
          <w:insideV w:val="nil"/>
        </w:tcBorders>
        <w:shd w:val="clear" w:color="auto" w:fill="E7FFAF" w:themeFill="accent2" w:themeFillTint="3F"/>
      </w:tcPr>
    </w:tblStylePr>
  </w:style>
  <w:style w:type="table" w:styleId="LightShading-Accent3">
    <w:name w:val="Light Shading Accent 3"/>
    <w:basedOn w:val="TableNormal"/>
    <w:uiPriority w:val="60"/>
    <w:semiHidden/>
    <w:unhideWhenUsed/>
    <w:rsid w:val="009E6ED7"/>
    <w:rPr>
      <w:color w:val="C76808" w:themeColor="accent3" w:themeShade="BF"/>
    </w:rPr>
    <w:tblPr>
      <w:tblStyleRowBandSize w:val="1"/>
      <w:tblStyleColBandSize w:val="1"/>
      <w:tblBorders>
        <w:top w:val="single" w:sz="8" w:space="0" w:color="F68B1F" w:themeColor="accent3"/>
        <w:bottom w:val="single" w:sz="8" w:space="0" w:color="F68B1F" w:themeColor="accent3"/>
      </w:tblBorders>
    </w:tblPr>
    <w:tblStylePr w:type="fir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la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left w:val="nil"/>
          <w:right w:val="nil"/>
          <w:insideH w:val="nil"/>
          <w:insideV w:val="nil"/>
        </w:tcBorders>
        <w:shd w:val="clear" w:color="auto" w:fill="FCE2C7" w:themeFill="accent3" w:themeFillTint="3F"/>
      </w:tcPr>
    </w:tblStylePr>
  </w:style>
  <w:style w:type="table" w:styleId="LightShading-Accent4">
    <w:name w:val="Light Shading Accent 4"/>
    <w:basedOn w:val="TableNormal"/>
    <w:uiPriority w:val="60"/>
    <w:semiHidden/>
    <w:unhideWhenUsed/>
    <w:rsid w:val="009E6ED7"/>
    <w:rPr>
      <w:color w:val="76005E" w:themeColor="accent4" w:themeShade="BF"/>
    </w:rPr>
    <w:tblPr>
      <w:tblStyleRowBandSize w:val="1"/>
      <w:tblStyleColBandSize w:val="1"/>
      <w:tblBorders>
        <w:top w:val="single" w:sz="8" w:space="0" w:color="9E007E" w:themeColor="accent4"/>
        <w:bottom w:val="single" w:sz="8" w:space="0" w:color="9E007E" w:themeColor="accent4"/>
      </w:tblBorders>
    </w:tblPr>
    <w:tblStylePr w:type="fir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la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left w:val="nil"/>
          <w:right w:val="nil"/>
          <w:insideH w:val="nil"/>
          <w:insideV w:val="nil"/>
        </w:tcBorders>
        <w:shd w:val="clear" w:color="auto" w:fill="FFA8ED" w:themeFill="accent4" w:themeFillTint="3F"/>
      </w:tcPr>
    </w:tblStylePr>
  </w:style>
  <w:style w:type="table" w:styleId="LightShading-Accent5">
    <w:name w:val="Light Shading Accent 5"/>
    <w:basedOn w:val="TableNormal"/>
    <w:uiPriority w:val="60"/>
    <w:semiHidden/>
    <w:unhideWhenUsed/>
    <w:rsid w:val="009E6ED7"/>
    <w:rPr>
      <w:color w:val="CCB500" w:themeColor="accent5" w:themeShade="BF"/>
    </w:rPr>
    <w:tblPr>
      <w:tblStyleRowBandSize w:val="1"/>
      <w:tblStyleColBandSize w:val="1"/>
      <w:tblBorders>
        <w:top w:val="single" w:sz="8" w:space="0" w:color="FFE512" w:themeColor="accent5"/>
        <w:bottom w:val="single" w:sz="8" w:space="0" w:color="FFE512" w:themeColor="accent5"/>
      </w:tblBorders>
    </w:tblPr>
    <w:tblStylePr w:type="fir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la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left w:val="nil"/>
          <w:right w:val="nil"/>
          <w:insideH w:val="nil"/>
          <w:insideV w:val="nil"/>
        </w:tcBorders>
        <w:shd w:val="clear" w:color="auto" w:fill="FFF8C4" w:themeFill="accent5" w:themeFillTint="3F"/>
      </w:tcPr>
    </w:tblStylePr>
  </w:style>
  <w:style w:type="table" w:styleId="LightShading-Accent6">
    <w:name w:val="Light Shading Accent 6"/>
    <w:basedOn w:val="TableNormal"/>
    <w:uiPriority w:val="60"/>
    <w:semiHidden/>
    <w:unhideWhenUsed/>
    <w:rsid w:val="009E6ED7"/>
    <w:rPr>
      <w:color w:val="69615A" w:themeColor="accent6" w:themeShade="BF"/>
    </w:rPr>
    <w:tblPr>
      <w:tblStyleRowBandSize w:val="1"/>
      <w:tblStyleColBandSize w:val="1"/>
      <w:tblBorders>
        <w:top w:val="single" w:sz="8" w:space="0" w:color="8C8279" w:themeColor="accent6"/>
        <w:bottom w:val="single" w:sz="8" w:space="0" w:color="8C8279" w:themeColor="accent6"/>
      </w:tblBorders>
    </w:tblPr>
    <w:tblStylePr w:type="fir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la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left w:val="nil"/>
          <w:right w:val="nil"/>
          <w:insideH w:val="nil"/>
          <w:insideV w:val="nil"/>
        </w:tcBorders>
        <w:shd w:val="clear" w:color="auto" w:fill="E2E0DD" w:themeFill="accent6" w:themeFillTint="3F"/>
      </w:tcPr>
    </w:tblStylePr>
  </w:style>
  <w:style w:type="table" w:styleId="MediumGrid1">
    <w:name w:val="Medium Grid 1"/>
    <w:basedOn w:val="TableNormal"/>
    <w:uiPriority w:val="67"/>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insideV w:val="single" w:sz="8" w:space="0" w:color="2AD4FF" w:themeColor="accent1" w:themeTint="BF"/>
      </w:tblBorders>
    </w:tblPr>
    <w:tcPr>
      <w:shd w:val="clear" w:color="auto" w:fill="B8F0FF" w:themeFill="accent1" w:themeFillTint="3F"/>
    </w:tcPr>
    <w:tblStylePr w:type="firstRow">
      <w:rPr>
        <w:b/>
        <w:bCs/>
      </w:rPr>
    </w:tblStylePr>
    <w:tblStylePr w:type="lastRow">
      <w:rPr>
        <w:b/>
        <w:bCs/>
      </w:rPr>
      <w:tblPr/>
      <w:tcPr>
        <w:tcBorders>
          <w:top w:val="single" w:sz="18" w:space="0" w:color="2AD4FF" w:themeColor="accent1" w:themeTint="BF"/>
        </w:tcBorders>
      </w:tcPr>
    </w:tblStylePr>
    <w:tblStylePr w:type="firstCol">
      <w:rPr>
        <w:b/>
        <w:bCs/>
      </w:rPr>
    </w:tblStylePr>
    <w:tblStylePr w:type="lastCol">
      <w:rPr>
        <w:b/>
        <w:bCs/>
      </w:r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MediumGrid1-Accent2">
    <w:name w:val="Medium Grid 1 Accent 2"/>
    <w:basedOn w:val="TableNormal"/>
    <w:uiPriority w:val="67"/>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insideV w:val="single" w:sz="8" w:space="0" w:color="B6FF0E" w:themeColor="accent2" w:themeTint="BF"/>
      </w:tblBorders>
    </w:tblPr>
    <w:tcPr>
      <w:shd w:val="clear" w:color="auto" w:fill="E7FFAF" w:themeFill="accent2" w:themeFillTint="3F"/>
    </w:tcPr>
    <w:tblStylePr w:type="firstRow">
      <w:rPr>
        <w:b/>
        <w:bCs/>
      </w:rPr>
    </w:tblStylePr>
    <w:tblStylePr w:type="lastRow">
      <w:rPr>
        <w:b/>
        <w:bCs/>
      </w:rPr>
      <w:tblPr/>
      <w:tcPr>
        <w:tcBorders>
          <w:top w:val="single" w:sz="18" w:space="0" w:color="B6FF0E" w:themeColor="accent2" w:themeTint="BF"/>
        </w:tcBorders>
      </w:tcPr>
    </w:tblStylePr>
    <w:tblStylePr w:type="firstCol">
      <w:rPr>
        <w:b/>
        <w:bCs/>
      </w:rPr>
    </w:tblStylePr>
    <w:tblStylePr w:type="lastCol">
      <w:rPr>
        <w:b/>
        <w:bCs/>
      </w:r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MediumGrid1-Accent3">
    <w:name w:val="Medium Grid 1 Accent 3"/>
    <w:basedOn w:val="TableNormal"/>
    <w:uiPriority w:val="67"/>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insideV w:val="single" w:sz="8" w:space="0" w:color="F8A757" w:themeColor="accent3" w:themeTint="BF"/>
      </w:tblBorders>
    </w:tblPr>
    <w:tcPr>
      <w:shd w:val="clear" w:color="auto" w:fill="FCE2C7" w:themeFill="accent3" w:themeFillTint="3F"/>
    </w:tcPr>
    <w:tblStylePr w:type="firstRow">
      <w:rPr>
        <w:b/>
        <w:bCs/>
      </w:rPr>
    </w:tblStylePr>
    <w:tblStylePr w:type="lastRow">
      <w:rPr>
        <w:b/>
        <w:bCs/>
      </w:rPr>
      <w:tblPr/>
      <w:tcPr>
        <w:tcBorders>
          <w:top w:val="single" w:sz="18" w:space="0" w:color="F8A757" w:themeColor="accent3" w:themeTint="BF"/>
        </w:tcBorders>
      </w:tcPr>
    </w:tblStylePr>
    <w:tblStylePr w:type="firstCol">
      <w:rPr>
        <w:b/>
        <w:bCs/>
      </w:rPr>
    </w:tblStylePr>
    <w:tblStylePr w:type="lastCol">
      <w:rPr>
        <w:b/>
        <w:bCs/>
      </w:r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MediumGrid1-Accent4">
    <w:name w:val="Medium Grid 1 Accent 4"/>
    <w:basedOn w:val="TableNormal"/>
    <w:uiPriority w:val="67"/>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insideV w:val="single" w:sz="8" w:space="0" w:color="F600C4" w:themeColor="accent4" w:themeTint="BF"/>
      </w:tblBorders>
    </w:tblPr>
    <w:tcPr>
      <w:shd w:val="clear" w:color="auto" w:fill="FFA8ED" w:themeFill="accent4" w:themeFillTint="3F"/>
    </w:tcPr>
    <w:tblStylePr w:type="firstRow">
      <w:rPr>
        <w:b/>
        <w:bCs/>
      </w:rPr>
    </w:tblStylePr>
    <w:tblStylePr w:type="lastRow">
      <w:rPr>
        <w:b/>
        <w:bCs/>
      </w:rPr>
      <w:tblPr/>
      <w:tcPr>
        <w:tcBorders>
          <w:top w:val="single" w:sz="18" w:space="0" w:color="F600C4" w:themeColor="accent4" w:themeTint="BF"/>
        </w:tcBorders>
      </w:tcPr>
    </w:tblStylePr>
    <w:tblStylePr w:type="firstCol">
      <w:rPr>
        <w:b/>
        <w:bCs/>
      </w:rPr>
    </w:tblStylePr>
    <w:tblStylePr w:type="lastCol">
      <w:rPr>
        <w:b/>
        <w:bCs/>
      </w:r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MediumGrid1-Accent5">
    <w:name w:val="Medium Grid 1 Accent 5"/>
    <w:basedOn w:val="TableNormal"/>
    <w:uiPriority w:val="67"/>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insideV w:val="single" w:sz="8" w:space="0" w:color="FFEB4D" w:themeColor="accent5" w:themeTint="BF"/>
      </w:tblBorders>
    </w:tblPr>
    <w:tcPr>
      <w:shd w:val="clear" w:color="auto" w:fill="FFF8C4" w:themeFill="accent5" w:themeFillTint="3F"/>
    </w:tcPr>
    <w:tblStylePr w:type="firstRow">
      <w:rPr>
        <w:b/>
        <w:bCs/>
      </w:rPr>
    </w:tblStylePr>
    <w:tblStylePr w:type="lastRow">
      <w:rPr>
        <w:b/>
        <w:bCs/>
      </w:rPr>
      <w:tblPr/>
      <w:tcPr>
        <w:tcBorders>
          <w:top w:val="single" w:sz="18" w:space="0" w:color="FFEB4D" w:themeColor="accent5" w:themeTint="BF"/>
        </w:tcBorders>
      </w:tcPr>
    </w:tblStylePr>
    <w:tblStylePr w:type="firstCol">
      <w:rPr>
        <w:b/>
        <w:bCs/>
      </w:rPr>
    </w:tblStylePr>
    <w:tblStylePr w:type="lastCol">
      <w:rPr>
        <w:b/>
        <w:bCs/>
      </w:r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MediumGrid1-Accent6">
    <w:name w:val="Medium Grid 1 Accent 6"/>
    <w:basedOn w:val="TableNormal"/>
    <w:uiPriority w:val="67"/>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insideV w:val="single" w:sz="8" w:space="0" w:color="A8A19A" w:themeColor="accent6" w:themeTint="BF"/>
      </w:tblBorders>
    </w:tblPr>
    <w:tcPr>
      <w:shd w:val="clear" w:color="auto" w:fill="E2E0DD" w:themeFill="accent6" w:themeFillTint="3F"/>
    </w:tcPr>
    <w:tblStylePr w:type="firstRow">
      <w:rPr>
        <w:b/>
        <w:bCs/>
      </w:rPr>
    </w:tblStylePr>
    <w:tblStylePr w:type="lastRow">
      <w:rPr>
        <w:b/>
        <w:bCs/>
      </w:rPr>
      <w:tblPr/>
      <w:tcPr>
        <w:tcBorders>
          <w:top w:val="single" w:sz="18" w:space="0" w:color="A8A19A" w:themeColor="accent6" w:themeTint="BF"/>
        </w:tcBorders>
      </w:tcPr>
    </w:tblStylePr>
    <w:tblStylePr w:type="firstCol">
      <w:rPr>
        <w:b/>
        <w:bCs/>
      </w:rPr>
    </w:tblStylePr>
    <w:tblStylePr w:type="lastCol">
      <w:rPr>
        <w:b/>
        <w:bCs/>
      </w:r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MediumGrid2">
    <w:name w:val="Medium Grid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cPr>
      <w:shd w:val="clear" w:color="auto" w:fill="B8F0FF" w:themeFill="accent1" w:themeFillTint="3F"/>
    </w:tcPr>
    <w:tblStylePr w:type="firstRow">
      <w:rPr>
        <w:b/>
        <w:bCs/>
        <w:color w:val="000000" w:themeColor="text1"/>
      </w:rPr>
      <w:tblPr/>
      <w:tcPr>
        <w:shd w:val="clear" w:color="auto" w:fill="E3F9FF"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6F3FF" w:themeFill="accent1" w:themeFillTint="33"/>
      </w:tcPr>
    </w:tblStylePr>
    <w:tblStylePr w:type="band1Vert">
      <w:tblPr/>
      <w:tcPr>
        <w:shd w:val="clear" w:color="auto" w:fill="71E2FF" w:themeFill="accent1" w:themeFillTint="7F"/>
      </w:tcPr>
    </w:tblStylePr>
    <w:tblStylePr w:type="band1Horz">
      <w:tblPr/>
      <w:tcPr>
        <w:tcBorders>
          <w:insideH w:val="single" w:sz="6" w:space="0" w:color="00B5E2" w:themeColor="accent1"/>
          <w:insideV w:val="single" w:sz="6" w:space="0" w:color="00B5E2" w:themeColor="accent1"/>
        </w:tcBorders>
        <w:shd w:val="clear" w:color="auto" w:fill="71E2FF"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cPr>
      <w:shd w:val="clear" w:color="auto" w:fill="E7FFAF" w:themeFill="accent2" w:themeFillTint="3F"/>
    </w:tcPr>
    <w:tblStylePr w:type="firstRow">
      <w:rPr>
        <w:b/>
        <w:bCs/>
        <w:color w:val="000000" w:themeColor="text1"/>
      </w:rPr>
      <w:tblPr/>
      <w:tcPr>
        <w:shd w:val="clear" w:color="auto" w:fill="F5FFDF"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BFFBE" w:themeFill="accent2" w:themeFillTint="33"/>
      </w:tcPr>
    </w:tblStylePr>
    <w:tblStylePr w:type="band1Vert">
      <w:tblPr/>
      <w:tcPr>
        <w:shd w:val="clear" w:color="auto" w:fill="CEFF5F" w:themeFill="accent2" w:themeFillTint="7F"/>
      </w:tcPr>
    </w:tblStylePr>
    <w:tblStylePr w:type="band1Horz">
      <w:tblPr/>
      <w:tcPr>
        <w:tcBorders>
          <w:insideH w:val="single" w:sz="6" w:space="0" w:color="84BD00" w:themeColor="accent2"/>
          <w:insideV w:val="single" w:sz="6" w:space="0" w:color="84BD00" w:themeColor="accent2"/>
        </w:tcBorders>
        <w:shd w:val="clear" w:color="auto" w:fill="CEFF5F"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cPr>
      <w:shd w:val="clear" w:color="auto" w:fill="FCE2C7" w:themeFill="accent3" w:themeFillTint="3F"/>
    </w:tcPr>
    <w:tblStylePr w:type="firstRow">
      <w:rPr>
        <w:b/>
        <w:bCs/>
        <w:color w:val="000000" w:themeColor="text1"/>
      </w:rPr>
      <w:tblPr/>
      <w:tcPr>
        <w:shd w:val="clear" w:color="auto" w:fill="FEF3E8"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7D2" w:themeFill="accent3" w:themeFillTint="33"/>
      </w:tcPr>
    </w:tblStylePr>
    <w:tblStylePr w:type="band1Vert">
      <w:tblPr/>
      <w:tcPr>
        <w:shd w:val="clear" w:color="auto" w:fill="FAC58F" w:themeFill="accent3" w:themeFillTint="7F"/>
      </w:tcPr>
    </w:tblStylePr>
    <w:tblStylePr w:type="band1Horz">
      <w:tblPr/>
      <w:tcPr>
        <w:tcBorders>
          <w:insideH w:val="single" w:sz="6" w:space="0" w:color="F68B1F" w:themeColor="accent3"/>
          <w:insideV w:val="single" w:sz="6" w:space="0" w:color="F68B1F" w:themeColor="accent3"/>
        </w:tcBorders>
        <w:shd w:val="clear" w:color="auto" w:fill="FAC58F"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cPr>
      <w:shd w:val="clear" w:color="auto" w:fill="FFA8ED" w:themeFill="accent4" w:themeFillTint="3F"/>
    </w:tcPr>
    <w:tblStylePr w:type="firstRow">
      <w:rPr>
        <w:b/>
        <w:bCs/>
        <w:color w:val="000000" w:themeColor="text1"/>
      </w:rPr>
      <w:tblPr/>
      <w:tcPr>
        <w:shd w:val="clear" w:color="auto" w:fill="FFDCF7"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B8F0" w:themeFill="accent4" w:themeFillTint="33"/>
      </w:tcPr>
    </w:tblStylePr>
    <w:tblStylePr w:type="band1Vert">
      <w:tblPr/>
      <w:tcPr>
        <w:shd w:val="clear" w:color="auto" w:fill="FF4FDB" w:themeFill="accent4" w:themeFillTint="7F"/>
      </w:tcPr>
    </w:tblStylePr>
    <w:tblStylePr w:type="band1Horz">
      <w:tblPr/>
      <w:tcPr>
        <w:tcBorders>
          <w:insideH w:val="single" w:sz="6" w:space="0" w:color="9E007E" w:themeColor="accent4"/>
          <w:insideV w:val="single" w:sz="6" w:space="0" w:color="9E007E" w:themeColor="accent4"/>
        </w:tcBorders>
        <w:shd w:val="clear" w:color="auto" w:fill="FF4FDB"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cPr>
      <w:shd w:val="clear" w:color="auto" w:fill="FFF8C4" w:themeFill="accent5" w:themeFillTint="3F"/>
    </w:tcPr>
    <w:tblStylePr w:type="firstRow">
      <w:rPr>
        <w:b/>
        <w:bCs/>
        <w:color w:val="000000" w:themeColor="text1"/>
      </w:rPr>
      <w:tblPr/>
      <w:tcPr>
        <w:shd w:val="clear" w:color="auto" w:fill="FFFCE7"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9CF" w:themeFill="accent5" w:themeFillTint="33"/>
      </w:tcPr>
    </w:tblStylePr>
    <w:tblStylePr w:type="band1Vert">
      <w:tblPr/>
      <w:tcPr>
        <w:shd w:val="clear" w:color="auto" w:fill="FFF288" w:themeFill="accent5" w:themeFillTint="7F"/>
      </w:tcPr>
    </w:tblStylePr>
    <w:tblStylePr w:type="band1Horz">
      <w:tblPr/>
      <w:tcPr>
        <w:tcBorders>
          <w:insideH w:val="single" w:sz="6" w:space="0" w:color="FFE512" w:themeColor="accent5"/>
          <w:insideV w:val="single" w:sz="6" w:space="0" w:color="FFE512" w:themeColor="accent5"/>
        </w:tcBorders>
        <w:shd w:val="clear" w:color="auto" w:fill="FFF288"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cPr>
      <w:shd w:val="clear" w:color="auto" w:fill="E2E0DD" w:themeFill="accent6" w:themeFillTint="3F"/>
    </w:tcPr>
    <w:tblStylePr w:type="firstRow">
      <w:rPr>
        <w:b/>
        <w:bCs/>
        <w:color w:val="000000" w:themeColor="text1"/>
      </w:rPr>
      <w:tblPr/>
      <w:tcPr>
        <w:shd w:val="clear" w:color="auto" w:fill="F3F2F1"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8E5E4" w:themeFill="accent6" w:themeFillTint="33"/>
      </w:tcPr>
    </w:tblStylePr>
    <w:tblStylePr w:type="band1Vert">
      <w:tblPr/>
      <w:tcPr>
        <w:shd w:val="clear" w:color="auto" w:fill="C5C0BC" w:themeFill="accent6" w:themeFillTint="7F"/>
      </w:tcPr>
    </w:tblStylePr>
    <w:tblStylePr w:type="band1Horz">
      <w:tblPr/>
      <w:tcPr>
        <w:tcBorders>
          <w:insideH w:val="single" w:sz="6" w:space="0" w:color="8C8279" w:themeColor="accent6"/>
          <w:insideV w:val="single" w:sz="6" w:space="0" w:color="8C8279" w:themeColor="accent6"/>
        </w:tcBorders>
        <w:shd w:val="clear" w:color="auto" w:fill="C5C0BC"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8F0FF"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B5E2"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B5E2"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71E2FF"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71E2FF" w:themeFill="accent1" w:themeFillTint="7F"/>
      </w:tcPr>
    </w:tblStylePr>
  </w:style>
  <w:style w:type="table" w:styleId="MediumGrid3-Accent2">
    <w:name w:val="Medium Grid 3 Accent 2"/>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7FFAF"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4BD00"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4BD00"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EFF5F"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EFF5F" w:themeFill="accent2" w:themeFillTint="7F"/>
      </w:tcPr>
    </w:tblStylePr>
  </w:style>
  <w:style w:type="table" w:styleId="MediumGrid3-Accent3">
    <w:name w:val="Medium Grid 3 Accent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CE2C7"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68B1F"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68B1F"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AC58F"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AC58F" w:themeFill="accent3" w:themeFillTint="7F"/>
      </w:tcPr>
    </w:tblStylePr>
  </w:style>
  <w:style w:type="table" w:styleId="MediumGrid3-Accent4">
    <w:name w:val="Medium Grid 3 Accent 4"/>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A8ED"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E007E"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E007E"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4FDB"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4FDB" w:themeFill="accent4" w:themeFillTint="7F"/>
      </w:tcPr>
    </w:tblStylePr>
  </w:style>
  <w:style w:type="table" w:styleId="MediumGrid3-Accent5">
    <w:name w:val="Medium Grid 3 Accent 5"/>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F8C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E512"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E512"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F288"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F288" w:themeFill="accent5" w:themeFillTint="7F"/>
      </w:tcPr>
    </w:tblStylePr>
  </w:style>
  <w:style w:type="table" w:styleId="MediumGrid3-Accent6">
    <w:name w:val="Medium Grid 3 Accent 6"/>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2E0DD"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C8279"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C8279"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5C0BC"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5C0BC" w:themeFill="accent6" w:themeFillTint="7F"/>
      </w:tcPr>
    </w:tblStylePr>
  </w:style>
  <w:style w:type="table" w:styleId="MediumList1">
    <w:name w:val="Medium List 1"/>
    <w:basedOn w:val="TableNormal"/>
    <w:uiPriority w:val="65"/>
    <w:semiHidden/>
    <w:unhideWhenUsed/>
    <w:rsid w:val="009E6ED7"/>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000000"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9E6ED7"/>
    <w:rPr>
      <w:color w:val="000000" w:themeColor="text1"/>
    </w:rPr>
    <w:tblPr>
      <w:tblStyleRowBandSize w:val="1"/>
      <w:tblStyleColBandSize w:val="1"/>
      <w:tblBorders>
        <w:top w:val="single" w:sz="8" w:space="0" w:color="00B5E2" w:themeColor="accent1"/>
        <w:bottom w:val="single" w:sz="8" w:space="0" w:color="00B5E2" w:themeColor="accent1"/>
      </w:tblBorders>
    </w:tblPr>
    <w:tblStylePr w:type="firstRow">
      <w:rPr>
        <w:rFonts w:asciiTheme="majorHAnsi" w:eastAsiaTheme="majorEastAsia" w:hAnsiTheme="majorHAnsi" w:cstheme="majorBidi"/>
      </w:rPr>
      <w:tblPr/>
      <w:tcPr>
        <w:tcBorders>
          <w:top w:val="nil"/>
          <w:bottom w:val="single" w:sz="8" w:space="0" w:color="00B5E2" w:themeColor="accent1"/>
        </w:tcBorders>
      </w:tcPr>
    </w:tblStylePr>
    <w:tblStylePr w:type="lastRow">
      <w:rPr>
        <w:b/>
        <w:bCs/>
        <w:color w:val="000000" w:themeColor="text2"/>
      </w:rPr>
      <w:tblPr/>
      <w:tcPr>
        <w:tcBorders>
          <w:top w:val="single" w:sz="8" w:space="0" w:color="00B5E2" w:themeColor="accent1"/>
          <w:bottom w:val="single" w:sz="8" w:space="0" w:color="00B5E2" w:themeColor="accent1"/>
        </w:tcBorders>
      </w:tcPr>
    </w:tblStylePr>
    <w:tblStylePr w:type="firstCol">
      <w:rPr>
        <w:b/>
        <w:bCs/>
      </w:rPr>
    </w:tblStylePr>
    <w:tblStylePr w:type="lastCol">
      <w:rPr>
        <w:b/>
        <w:bCs/>
      </w:rPr>
      <w:tblPr/>
      <w:tcPr>
        <w:tcBorders>
          <w:top w:val="single" w:sz="8" w:space="0" w:color="00B5E2" w:themeColor="accent1"/>
          <w:bottom w:val="single" w:sz="8" w:space="0" w:color="00B5E2" w:themeColor="accent1"/>
        </w:tcBorders>
      </w:tcPr>
    </w:tblStylePr>
    <w:tblStylePr w:type="band1Vert">
      <w:tblPr/>
      <w:tcPr>
        <w:shd w:val="clear" w:color="auto" w:fill="B8F0FF" w:themeFill="accent1" w:themeFillTint="3F"/>
      </w:tcPr>
    </w:tblStylePr>
    <w:tblStylePr w:type="band1Horz">
      <w:tblPr/>
      <w:tcPr>
        <w:shd w:val="clear" w:color="auto" w:fill="B8F0FF" w:themeFill="accent1" w:themeFillTint="3F"/>
      </w:tcPr>
    </w:tblStylePr>
  </w:style>
  <w:style w:type="table" w:styleId="MediumList1-Accent2">
    <w:name w:val="Medium List 1 Accent 2"/>
    <w:basedOn w:val="TableNormal"/>
    <w:uiPriority w:val="65"/>
    <w:semiHidden/>
    <w:unhideWhenUsed/>
    <w:rsid w:val="009E6ED7"/>
    <w:rPr>
      <w:color w:val="000000" w:themeColor="text1"/>
    </w:rPr>
    <w:tblPr>
      <w:tblStyleRowBandSize w:val="1"/>
      <w:tblStyleColBandSize w:val="1"/>
      <w:tblBorders>
        <w:top w:val="single" w:sz="8" w:space="0" w:color="84BD00" w:themeColor="accent2"/>
        <w:bottom w:val="single" w:sz="8" w:space="0" w:color="84BD00" w:themeColor="accent2"/>
      </w:tblBorders>
    </w:tblPr>
    <w:tblStylePr w:type="firstRow">
      <w:rPr>
        <w:rFonts w:asciiTheme="majorHAnsi" w:eastAsiaTheme="majorEastAsia" w:hAnsiTheme="majorHAnsi" w:cstheme="majorBidi"/>
      </w:rPr>
      <w:tblPr/>
      <w:tcPr>
        <w:tcBorders>
          <w:top w:val="nil"/>
          <w:bottom w:val="single" w:sz="8" w:space="0" w:color="84BD00" w:themeColor="accent2"/>
        </w:tcBorders>
      </w:tcPr>
    </w:tblStylePr>
    <w:tblStylePr w:type="lastRow">
      <w:rPr>
        <w:b/>
        <w:bCs/>
        <w:color w:val="000000" w:themeColor="text2"/>
      </w:rPr>
      <w:tblPr/>
      <w:tcPr>
        <w:tcBorders>
          <w:top w:val="single" w:sz="8" w:space="0" w:color="84BD00" w:themeColor="accent2"/>
          <w:bottom w:val="single" w:sz="8" w:space="0" w:color="84BD00" w:themeColor="accent2"/>
        </w:tcBorders>
      </w:tcPr>
    </w:tblStylePr>
    <w:tblStylePr w:type="firstCol">
      <w:rPr>
        <w:b/>
        <w:bCs/>
      </w:rPr>
    </w:tblStylePr>
    <w:tblStylePr w:type="lastCol">
      <w:rPr>
        <w:b/>
        <w:bCs/>
      </w:rPr>
      <w:tblPr/>
      <w:tcPr>
        <w:tcBorders>
          <w:top w:val="single" w:sz="8" w:space="0" w:color="84BD00" w:themeColor="accent2"/>
          <w:bottom w:val="single" w:sz="8" w:space="0" w:color="84BD00" w:themeColor="accent2"/>
        </w:tcBorders>
      </w:tcPr>
    </w:tblStylePr>
    <w:tblStylePr w:type="band1Vert">
      <w:tblPr/>
      <w:tcPr>
        <w:shd w:val="clear" w:color="auto" w:fill="E7FFAF" w:themeFill="accent2" w:themeFillTint="3F"/>
      </w:tcPr>
    </w:tblStylePr>
    <w:tblStylePr w:type="band1Horz">
      <w:tblPr/>
      <w:tcPr>
        <w:shd w:val="clear" w:color="auto" w:fill="E7FFAF" w:themeFill="accent2" w:themeFillTint="3F"/>
      </w:tcPr>
    </w:tblStylePr>
  </w:style>
  <w:style w:type="table" w:styleId="MediumList1-Accent3">
    <w:name w:val="Medium List 1 Accent 3"/>
    <w:basedOn w:val="TableNormal"/>
    <w:uiPriority w:val="65"/>
    <w:semiHidden/>
    <w:unhideWhenUsed/>
    <w:rsid w:val="009E6ED7"/>
    <w:rPr>
      <w:color w:val="000000" w:themeColor="text1"/>
    </w:rPr>
    <w:tblPr>
      <w:tblStyleRowBandSize w:val="1"/>
      <w:tblStyleColBandSize w:val="1"/>
      <w:tblBorders>
        <w:top w:val="single" w:sz="8" w:space="0" w:color="F68B1F" w:themeColor="accent3"/>
        <w:bottom w:val="single" w:sz="8" w:space="0" w:color="F68B1F" w:themeColor="accent3"/>
      </w:tblBorders>
    </w:tblPr>
    <w:tblStylePr w:type="firstRow">
      <w:rPr>
        <w:rFonts w:asciiTheme="majorHAnsi" w:eastAsiaTheme="majorEastAsia" w:hAnsiTheme="majorHAnsi" w:cstheme="majorBidi"/>
      </w:rPr>
      <w:tblPr/>
      <w:tcPr>
        <w:tcBorders>
          <w:top w:val="nil"/>
          <w:bottom w:val="single" w:sz="8" w:space="0" w:color="F68B1F" w:themeColor="accent3"/>
        </w:tcBorders>
      </w:tcPr>
    </w:tblStylePr>
    <w:tblStylePr w:type="lastRow">
      <w:rPr>
        <w:b/>
        <w:bCs/>
        <w:color w:val="000000" w:themeColor="text2"/>
      </w:rPr>
      <w:tblPr/>
      <w:tcPr>
        <w:tcBorders>
          <w:top w:val="single" w:sz="8" w:space="0" w:color="F68B1F" w:themeColor="accent3"/>
          <w:bottom w:val="single" w:sz="8" w:space="0" w:color="F68B1F" w:themeColor="accent3"/>
        </w:tcBorders>
      </w:tcPr>
    </w:tblStylePr>
    <w:tblStylePr w:type="firstCol">
      <w:rPr>
        <w:b/>
        <w:bCs/>
      </w:rPr>
    </w:tblStylePr>
    <w:tblStylePr w:type="lastCol">
      <w:rPr>
        <w:b/>
        <w:bCs/>
      </w:rPr>
      <w:tblPr/>
      <w:tcPr>
        <w:tcBorders>
          <w:top w:val="single" w:sz="8" w:space="0" w:color="F68B1F" w:themeColor="accent3"/>
          <w:bottom w:val="single" w:sz="8" w:space="0" w:color="F68B1F" w:themeColor="accent3"/>
        </w:tcBorders>
      </w:tcPr>
    </w:tblStylePr>
    <w:tblStylePr w:type="band1Vert">
      <w:tblPr/>
      <w:tcPr>
        <w:shd w:val="clear" w:color="auto" w:fill="FCE2C7" w:themeFill="accent3" w:themeFillTint="3F"/>
      </w:tcPr>
    </w:tblStylePr>
    <w:tblStylePr w:type="band1Horz">
      <w:tblPr/>
      <w:tcPr>
        <w:shd w:val="clear" w:color="auto" w:fill="FCE2C7" w:themeFill="accent3" w:themeFillTint="3F"/>
      </w:tcPr>
    </w:tblStylePr>
  </w:style>
  <w:style w:type="table" w:styleId="MediumList1-Accent4">
    <w:name w:val="Medium List 1 Accent 4"/>
    <w:basedOn w:val="TableNormal"/>
    <w:uiPriority w:val="65"/>
    <w:semiHidden/>
    <w:unhideWhenUsed/>
    <w:rsid w:val="009E6ED7"/>
    <w:rPr>
      <w:color w:val="000000" w:themeColor="text1"/>
    </w:rPr>
    <w:tblPr>
      <w:tblStyleRowBandSize w:val="1"/>
      <w:tblStyleColBandSize w:val="1"/>
      <w:tblBorders>
        <w:top w:val="single" w:sz="8" w:space="0" w:color="9E007E" w:themeColor="accent4"/>
        <w:bottom w:val="single" w:sz="8" w:space="0" w:color="9E007E" w:themeColor="accent4"/>
      </w:tblBorders>
    </w:tblPr>
    <w:tblStylePr w:type="firstRow">
      <w:rPr>
        <w:rFonts w:asciiTheme="majorHAnsi" w:eastAsiaTheme="majorEastAsia" w:hAnsiTheme="majorHAnsi" w:cstheme="majorBidi"/>
      </w:rPr>
      <w:tblPr/>
      <w:tcPr>
        <w:tcBorders>
          <w:top w:val="nil"/>
          <w:bottom w:val="single" w:sz="8" w:space="0" w:color="9E007E" w:themeColor="accent4"/>
        </w:tcBorders>
      </w:tcPr>
    </w:tblStylePr>
    <w:tblStylePr w:type="lastRow">
      <w:rPr>
        <w:b/>
        <w:bCs/>
        <w:color w:val="000000" w:themeColor="text2"/>
      </w:rPr>
      <w:tblPr/>
      <w:tcPr>
        <w:tcBorders>
          <w:top w:val="single" w:sz="8" w:space="0" w:color="9E007E" w:themeColor="accent4"/>
          <w:bottom w:val="single" w:sz="8" w:space="0" w:color="9E007E" w:themeColor="accent4"/>
        </w:tcBorders>
      </w:tcPr>
    </w:tblStylePr>
    <w:tblStylePr w:type="firstCol">
      <w:rPr>
        <w:b/>
        <w:bCs/>
      </w:rPr>
    </w:tblStylePr>
    <w:tblStylePr w:type="lastCol">
      <w:rPr>
        <w:b/>
        <w:bCs/>
      </w:rPr>
      <w:tblPr/>
      <w:tcPr>
        <w:tcBorders>
          <w:top w:val="single" w:sz="8" w:space="0" w:color="9E007E" w:themeColor="accent4"/>
          <w:bottom w:val="single" w:sz="8" w:space="0" w:color="9E007E" w:themeColor="accent4"/>
        </w:tcBorders>
      </w:tcPr>
    </w:tblStylePr>
    <w:tblStylePr w:type="band1Vert">
      <w:tblPr/>
      <w:tcPr>
        <w:shd w:val="clear" w:color="auto" w:fill="FFA8ED" w:themeFill="accent4" w:themeFillTint="3F"/>
      </w:tcPr>
    </w:tblStylePr>
    <w:tblStylePr w:type="band1Horz">
      <w:tblPr/>
      <w:tcPr>
        <w:shd w:val="clear" w:color="auto" w:fill="FFA8ED" w:themeFill="accent4" w:themeFillTint="3F"/>
      </w:tcPr>
    </w:tblStylePr>
  </w:style>
  <w:style w:type="table" w:styleId="MediumList1-Accent5">
    <w:name w:val="Medium List 1 Accent 5"/>
    <w:basedOn w:val="TableNormal"/>
    <w:uiPriority w:val="65"/>
    <w:semiHidden/>
    <w:unhideWhenUsed/>
    <w:rsid w:val="009E6ED7"/>
    <w:rPr>
      <w:color w:val="000000" w:themeColor="text1"/>
    </w:rPr>
    <w:tblPr>
      <w:tblStyleRowBandSize w:val="1"/>
      <w:tblStyleColBandSize w:val="1"/>
      <w:tblBorders>
        <w:top w:val="single" w:sz="8" w:space="0" w:color="FFE512" w:themeColor="accent5"/>
        <w:bottom w:val="single" w:sz="8" w:space="0" w:color="FFE512" w:themeColor="accent5"/>
      </w:tblBorders>
    </w:tblPr>
    <w:tblStylePr w:type="firstRow">
      <w:rPr>
        <w:rFonts w:asciiTheme="majorHAnsi" w:eastAsiaTheme="majorEastAsia" w:hAnsiTheme="majorHAnsi" w:cstheme="majorBidi"/>
      </w:rPr>
      <w:tblPr/>
      <w:tcPr>
        <w:tcBorders>
          <w:top w:val="nil"/>
          <w:bottom w:val="single" w:sz="8" w:space="0" w:color="FFE512" w:themeColor="accent5"/>
        </w:tcBorders>
      </w:tcPr>
    </w:tblStylePr>
    <w:tblStylePr w:type="lastRow">
      <w:rPr>
        <w:b/>
        <w:bCs/>
        <w:color w:val="000000" w:themeColor="text2"/>
      </w:rPr>
      <w:tblPr/>
      <w:tcPr>
        <w:tcBorders>
          <w:top w:val="single" w:sz="8" w:space="0" w:color="FFE512" w:themeColor="accent5"/>
          <w:bottom w:val="single" w:sz="8" w:space="0" w:color="FFE512" w:themeColor="accent5"/>
        </w:tcBorders>
      </w:tcPr>
    </w:tblStylePr>
    <w:tblStylePr w:type="firstCol">
      <w:rPr>
        <w:b/>
        <w:bCs/>
      </w:rPr>
    </w:tblStylePr>
    <w:tblStylePr w:type="lastCol">
      <w:rPr>
        <w:b/>
        <w:bCs/>
      </w:rPr>
      <w:tblPr/>
      <w:tcPr>
        <w:tcBorders>
          <w:top w:val="single" w:sz="8" w:space="0" w:color="FFE512" w:themeColor="accent5"/>
          <w:bottom w:val="single" w:sz="8" w:space="0" w:color="FFE512" w:themeColor="accent5"/>
        </w:tcBorders>
      </w:tcPr>
    </w:tblStylePr>
    <w:tblStylePr w:type="band1Vert">
      <w:tblPr/>
      <w:tcPr>
        <w:shd w:val="clear" w:color="auto" w:fill="FFF8C4" w:themeFill="accent5" w:themeFillTint="3F"/>
      </w:tcPr>
    </w:tblStylePr>
    <w:tblStylePr w:type="band1Horz">
      <w:tblPr/>
      <w:tcPr>
        <w:shd w:val="clear" w:color="auto" w:fill="FFF8C4" w:themeFill="accent5" w:themeFillTint="3F"/>
      </w:tcPr>
    </w:tblStylePr>
  </w:style>
  <w:style w:type="table" w:styleId="MediumList1-Accent6">
    <w:name w:val="Medium List 1 Accent 6"/>
    <w:basedOn w:val="TableNormal"/>
    <w:uiPriority w:val="65"/>
    <w:semiHidden/>
    <w:unhideWhenUsed/>
    <w:rsid w:val="009E6ED7"/>
    <w:rPr>
      <w:color w:val="000000" w:themeColor="text1"/>
    </w:rPr>
    <w:tblPr>
      <w:tblStyleRowBandSize w:val="1"/>
      <w:tblStyleColBandSize w:val="1"/>
      <w:tblBorders>
        <w:top w:val="single" w:sz="8" w:space="0" w:color="8C8279" w:themeColor="accent6"/>
        <w:bottom w:val="single" w:sz="8" w:space="0" w:color="8C8279" w:themeColor="accent6"/>
      </w:tblBorders>
    </w:tblPr>
    <w:tblStylePr w:type="firstRow">
      <w:rPr>
        <w:rFonts w:asciiTheme="majorHAnsi" w:eastAsiaTheme="majorEastAsia" w:hAnsiTheme="majorHAnsi" w:cstheme="majorBidi"/>
      </w:rPr>
      <w:tblPr/>
      <w:tcPr>
        <w:tcBorders>
          <w:top w:val="nil"/>
          <w:bottom w:val="single" w:sz="8" w:space="0" w:color="8C8279" w:themeColor="accent6"/>
        </w:tcBorders>
      </w:tcPr>
    </w:tblStylePr>
    <w:tblStylePr w:type="lastRow">
      <w:rPr>
        <w:b/>
        <w:bCs/>
        <w:color w:val="000000" w:themeColor="text2"/>
      </w:rPr>
      <w:tblPr/>
      <w:tcPr>
        <w:tcBorders>
          <w:top w:val="single" w:sz="8" w:space="0" w:color="8C8279" w:themeColor="accent6"/>
          <w:bottom w:val="single" w:sz="8" w:space="0" w:color="8C8279" w:themeColor="accent6"/>
        </w:tcBorders>
      </w:tcPr>
    </w:tblStylePr>
    <w:tblStylePr w:type="firstCol">
      <w:rPr>
        <w:b/>
        <w:bCs/>
      </w:rPr>
    </w:tblStylePr>
    <w:tblStylePr w:type="lastCol">
      <w:rPr>
        <w:b/>
        <w:bCs/>
      </w:rPr>
      <w:tblPr/>
      <w:tcPr>
        <w:tcBorders>
          <w:top w:val="single" w:sz="8" w:space="0" w:color="8C8279" w:themeColor="accent6"/>
          <w:bottom w:val="single" w:sz="8" w:space="0" w:color="8C8279" w:themeColor="accent6"/>
        </w:tcBorders>
      </w:tcPr>
    </w:tblStylePr>
    <w:tblStylePr w:type="band1Vert">
      <w:tblPr/>
      <w:tcPr>
        <w:shd w:val="clear" w:color="auto" w:fill="E2E0DD" w:themeFill="accent6" w:themeFillTint="3F"/>
      </w:tcPr>
    </w:tblStylePr>
    <w:tblStylePr w:type="band1Horz">
      <w:tblPr/>
      <w:tcPr>
        <w:shd w:val="clear" w:color="auto" w:fill="E2E0DD" w:themeFill="accent6" w:themeFillTint="3F"/>
      </w:tcPr>
    </w:tblStylePr>
  </w:style>
  <w:style w:type="table" w:styleId="MediumList2">
    <w:name w:val="Medium Lis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rPr>
        <w:sz w:val="24"/>
        <w:szCs w:val="24"/>
      </w:rPr>
      <w:tblPr/>
      <w:tcPr>
        <w:tcBorders>
          <w:top w:val="nil"/>
          <w:left w:val="nil"/>
          <w:bottom w:val="single" w:sz="24" w:space="0" w:color="00B5E2" w:themeColor="accent1"/>
          <w:right w:val="nil"/>
          <w:insideH w:val="nil"/>
          <w:insideV w:val="nil"/>
        </w:tcBorders>
        <w:shd w:val="clear" w:color="auto" w:fill="FFFFFF" w:themeFill="background1"/>
      </w:tcPr>
    </w:tblStylePr>
    <w:tblStylePr w:type="lastRow">
      <w:tblPr/>
      <w:tcPr>
        <w:tcBorders>
          <w:top w:val="single" w:sz="8" w:space="0" w:color="00B5E2"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B5E2" w:themeColor="accent1"/>
          <w:insideH w:val="nil"/>
          <w:insideV w:val="nil"/>
        </w:tcBorders>
        <w:shd w:val="clear" w:color="auto" w:fill="FFFFFF" w:themeFill="background1"/>
      </w:tcPr>
    </w:tblStylePr>
    <w:tblStylePr w:type="lastCol">
      <w:tblPr/>
      <w:tcPr>
        <w:tcBorders>
          <w:top w:val="nil"/>
          <w:left w:val="single" w:sz="8" w:space="0" w:color="00B5E2"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top w:val="nil"/>
          <w:bottom w:val="nil"/>
          <w:insideH w:val="nil"/>
          <w:insideV w:val="nil"/>
        </w:tcBorders>
        <w:shd w:val="clear" w:color="auto" w:fill="B8F0FF"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rPr>
        <w:sz w:val="24"/>
        <w:szCs w:val="24"/>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tblPr/>
      <w:tcPr>
        <w:tcBorders>
          <w:top w:val="single" w:sz="8" w:space="0" w:color="84BD00"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4BD00" w:themeColor="accent2"/>
          <w:insideH w:val="nil"/>
          <w:insideV w:val="nil"/>
        </w:tcBorders>
        <w:shd w:val="clear" w:color="auto" w:fill="FFFFFF" w:themeFill="background1"/>
      </w:tcPr>
    </w:tblStylePr>
    <w:tblStylePr w:type="lastCol">
      <w:tblPr/>
      <w:tcPr>
        <w:tcBorders>
          <w:top w:val="nil"/>
          <w:left w:val="single" w:sz="8" w:space="0" w:color="84BD00"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top w:val="nil"/>
          <w:bottom w:val="nil"/>
          <w:insideH w:val="nil"/>
          <w:insideV w:val="nil"/>
        </w:tcBorders>
        <w:shd w:val="clear" w:color="auto" w:fill="E7FFAF"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rPr>
        <w:sz w:val="24"/>
        <w:szCs w:val="24"/>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tblPr/>
      <w:tcPr>
        <w:tcBorders>
          <w:top w:val="single" w:sz="8" w:space="0" w:color="F68B1F"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68B1F" w:themeColor="accent3"/>
          <w:insideH w:val="nil"/>
          <w:insideV w:val="nil"/>
        </w:tcBorders>
        <w:shd w:val="clear" w:color="auto" w:fill="FFFFFF" w:themeFill="background1"/>
      </w:tcPr>
    </w:tblStylePr>
    <w:tblStylePr w:type="lastCol">
      <w:tblPr/>
      <w:tcPr>
        <w:tcBorders>
          <w:top w:val="nil"/>
          <w:left w:val="single" w:sz="8" w:space="0" w:color="F68B1F"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top w:val="nil"/>
          <w:bottom w:val="nil"/>
          <w:insideH w:val="nil"/>
          <w:insideV w:val="nil"/>
        </w:tcBorders>
        <w:shd w:val="clear" w:color="auto" w:fill="FCE2C7"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rPr>
        <w:sz w:val="24"/>
        <w:szCs w:val="24"/>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tblPr/>
      <w:tcPr>
        <w:tcBorders>
          <w:top w:val="single" w:sz="8" w:space="0" w:color="9E007E"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E007E" w:themeColor="accent4"/>
          <w:insideH w:val="nil"/>
          <w:insideV w:val="nil"/>
        </w:tcBorders>
        <w:shd w:val="clear" w:color="auto" w:fill="FFFFFF" w:themeFill="background1"/>
      </w:tcPr>
    </w:tblStylePr>
    <w:tblStylePr w:type="lastCol">
      <w:tblPr/>
      <w:tcPr>
        <w:tcBorders>
          <w:top w:val="nil"/>
          <w:left w:val="single" w:sz="8" w:space="0" w:color="9E007E"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top w:val="nil"/>
          <w:bottom w:val="nil"/>
          <w:insideH w:val="nil"/>
          <w:insideV w:val="nil"/>
        </w:tcBorders>
        <w:shd w:val="clear" w:color="auto" w:fill="FFA8ED"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rPr>
        <w:sz w:val="24"/>
        <w:szCs w:val="24"/>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tblPr/>
      <w:tcPr>
        <w:tcBorders>
          <w:top w:val="single" w:sz="8" w:space="0" w:color="FFE512"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E512" w:themeColor="accent5"/>
          <w:insideH w:val="nil"/>
          <w:insideV w:val="nil"/>
        </w:tcBorders>
        <w:shd w:val="clear" w:color="auto" w:fill="FFFFFF" w:themeFill="background1"/>
      </w:tcPr>
    </w:tblStylePr>
    <w:tblStylePr w:type="lastCol">
      <w:tblPr/>
      <w:tcPr>
        <w:tcBorders>
          <w:top w:val="nil"/>
          <w:left w:val="single" w:sz="8" w:space="0" w:color="FFE512"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top w:val="nil"/>
          <w:bottom w:val="nil"/>
          <w:insideH w:val="nil"/>
          <w:insideV w:val="nil"/>
        </w:tcBorders>
        <w:shd w:val="clear" w:color="auto" w:fill="FFF8C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rPr>
        <w:sz w:val="24"/>
        <w:szCs w:val="24"/>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tblPr/>
      <w:tcPr>
        <w:tcBorders>
          <w:top w:val="single" w:sz="8" w:space="0" w:color="8C8279"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C8279" w:themeColor="accent6"/>
          <w:insideH w:val="nil"/>
          <w:insideV w:val="nil"/>
        </w:tcBorders>
        <w:shd w:val="clear" w:color="auto" w:fill="FFFFFF" w:themeFill="background1"/>
      </w:tcPr>
    </w:tblStylePr>
    <w:tblStylePr w:type="lastCol">
      <w:tblPr/>
      <w:tcPr>
        <w:tcBorders>
          <w:top w:val="nil"/>
          <w:left w:val="single" w:sz="8" w:space="0" w:color="8C8279"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top w:val="nil"/>
          <w:bottom w:val="nil"/>
          <w:insideH w:val="nil"/>
          <w:insideV w:val="nil"/>
        </w:tcBorders>
        <w:shd w:val="clear" w:color="auto" w:fill="E2E0DD"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tblBorders>
    </w:tblPr>
    <w:tblStylePr w:type="firstRow">
      <w:pPr>
        <w:spacing w:before="0" w:after="0" w:line="240" w:lineRule="auto"/>
      </w:pPr>
      <w:rPr>
        <w:b/>
        <w:bCs/>
        <w:color w:val="FFFFFF" w:themeColor="background1"/>
      </w:rPr>
      <w:tblPr/>
      <w:tcPr>
        <w:tc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shd w:val="clear" w:color="auto" w:fill="00B5E2" w:themeFill="accent1"/>
      </w:tcPr>
    </w:tblStylePr>
    <w:tblStylePr w:type="lastRow">
      <w:pPr>
        <w:spacing w:before="0" w:after="0" w:line="240" w:lineRule="auto"/>
      </w:pPr>
      <w:rPr>
        <w:b/>
        <w:bCs/>
      </w:rPr>
      <w:tblPr/>
      <w:tcPr>
        <w:tcBorders>
          <w:top w:val="double" w:sz="6"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8F0FF" w:themeFill="accent1" w:themeFillTint="3F"/>
      </w:tcPr>
    </w:tblStylePr>
    <w:tblStylePr w:type="band1Horz">
      <w:tblPr/>
      <w:tcPr>
        <w:tcBorders>
          <w:insideH w:val="nil"/>
          <w:insideV w:val="nil"/>
        </w:tcBorders>
        <w:shd w:val="clear" w:color="auto" w:fill="B8F0FF"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tblBorders>
    </w:tblPr>
    <w:tblStylePr w:type="firstRow">
      <w:pPr>
        <w:spacing w:before="0" w:after="0" w:line="240" w:lineRule="auto"/>
      </w:pPr>
      <w:rPr>
        <w:b/>
        <w:bCs/>
        <w:color w:val="FFFFFF" w:themeColor="background1"/>
      </w:rPr>
      <w:tblPr/>
      <w:tcPr>
        <w:tc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shd w:val="clear" w:color="auto" w:fill="84BD00" w:themeFill="accent2"/>
      </w:tcPr>
    </w:tblStylePr>
    <w:tblStylePr w:type="lastRow">
      <w:pPr>
        <w:spacing w:before="0" w:after="0" w:line="240" w:lineRule="auto"/>
      </w:pPr>
      <w:rPr>
        <w:b/>
        <w:bCs/>
      </w:rPr>
      <w:tblPr/>
      <w:tcPr>
        <w:tcBorders>
          <w:top w:val="double" w:sz="6"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tcPr>
    </w:tblStylePr>
    <w:tblStylePr w:type="firstCol">
      <w:rPr>
        <w:b/>
        <w:bCs/>
      </w:rPr>
    </w:tblStylePr>
    <w:tblStylePr w:type="lastCol">
      <w:rPr>
        <w:b/>
        <w:bCs/>
      </w:rPr>
    </w:tblStylePr>
    <w:tblStylePr w:type="band1Vert">
      <w:tblPr/>
      <w:tcPr>
        <w:shd w:val="clear" w:color="auto" w:fill="E7FFAF" w:themeFill="accent2" w:themeFillTint="3F"/>
      </w:tcPr>
    </w:tblStylePr>
    <w:tblStylePr w:type="band1Horz">
      <w:tblPr/>
      <w:tcPr>
        <w:tcBorders>
          <w:insideH w:val="nil"/>
          <w:insideV w:val="nil"/>
        </w:tcBorders>
        <w:shd w:val="clear" w:color="auto" w:fill="E7FFAF"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tblBorders>
    </w:tblPr>
    <w:tblStylePr w:type="firstRow">
      <w:pPr>
        <w:spacing w:before="0" w:after="0" w:line="240" w:lineRule="auto"/>
      </w:pPr>
      <w:rPr>
        <w:b/>
        <w:bCs/>
        <w:color w:val="FFFFFF" w:themeColor="background1"/>
      </w:rPr>
      <w:tblPr/>
      <w:tcPr>
        <w:tc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shd w:val="clear" w:color="auto" w:fill="F68B1F" w:themeFill="accent3"/>
      </w:tcPr>
    </w:tblStylePr>
    <w:tblStylePr w:type="lastRow">
      <w:pPr>
        <w:spacing w:before="0" w:after="0" w:line="240" w:lineRule="auto"/>
      </w:pPr>
      <w:rPr>
        <w:b/>
        <w:bCs/>
      </w:rPr>
      <w:tblPr/>
      <w:tcPr>
        <w:tcBorders>
          <w:top w:val="double" w:sz="6"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tcPr>
    </w:tblStylePr>
    <w:tblStylePr w:type="firstCol">
      <w:rPr>
        <w:b/>
        <w:bCs/>
      </w:rPr>
    </w:tblStylePr>
    <w:tblStylePr w:type="lastCol">
      <w:rPr>
        <w:b/>
        <w:bCs/>
      </w:rPr>
    </w:tblStylePr>
    <w:tblStylePr w:type="band1Vert">
      <w:tblPr/>
      <w:tcPr>
        <w:shd w:val="clear" w:color="auto" w:fill="FCE2C7" w:themeFill="accent3" w:themeFillTint="3F"/>
      </w:tcPr>
    </w:tblStylePr>
    <w:tblStylePr w:type="band1Horz">
      <w:tblPr/>
      <w:tcPr>
        <w:tcBorders>
          <w:insideH w:val="nil"/>
          <w:insideV w:val="nil"/>
        </w:tcBorders>
        <w:shd w:val="clear" w:color="auto" w:fill="FCE2C7"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tblBorders>
    </w:tblPr>
    <w:tblStylePr w:type="firstRow">
      <w:pPr>
        <w:spacing w:before="0" w:after="0" w:line="240" w:lineRule="auto"/>
      </w:pPr>
      <w:rPr>
        <w:b/>
        <w:bCs/>
        <w:color w:val="FFFFFF" w:themeColor="background1"/>
      </w:rPr>
      <w:tblPr/>
      <w:tcPr>
        <w:tc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shd w:val="clear" w:color="auto" w:fill="9E007E" w:themeFill="accent4"/>
      </w:tcPr>
    </w:tblStylePr>
    <w:tblStylePr w:type="lastRow">
      <w:pPr>
        <w:spacing w:before="0" w:after="0" w:line="240" w:lineRule="auto"/>
      </w:pPr>
      <w:rPr>
        <w:b/>
        <w:bCs/>
      </w:rPr>
      <w:tblPr/>
      <w:tcPr>
        <w:tcBorders>
          <w:top w:val="double" w:sz="6"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A8ED" w:themeFill="accent4" w:themeFillTint="3F"/>
      </w:tcPr>
    </w:tblStylePr>
    <w:tblStylePr w:type="band1Horz">
      <w:tblPr/>
      <w:tcPr>
        <w:tcBorders>
          <w:insideH w:val="nil"/>
          <w:insideV w:val="nil"/>
        </w:tcBorders>
        <w:shd w:val="clear" w:color="auto" w:fill="FFA8ED"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tblBorders>
    </w:tblPr>
    <w:tblStylePr w:type="firstRow">
      <w:pPr>
        <w:spacing w:before="0" w:after="0" w:line="240" w:lineRule="auto"/>
      </w:pPr>
      <w:rPr>
        <w:b/>
        <w:bCs/>
        <w:color w:val="FFFFFF" w:themeColor="background1"/>
      </w:rPr>
      <w:tblPr/>
      <w:tcPr>
        <w:tc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shd w:val="clear" w:color="auto" w:fill="FFE512" w:themeFill="accent5"/>
      </w:tcPr>
    </w:tblStylePr>
    <w:tblStylePr w:type="lastRow">
      <w:pPr>
        <w:spacing w:before="0" w:after="0" w:line="240" w:lineRule="auto"/>
      </w:pPr>
      <w:rPr>
        <w:b/>
        <w:bCs/>
      </w:rPr>
      <w:tblPr/>
      <w:tcPr>
        <w:tcBorders>
          <w:top w:val="double" w:sz="6"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tcPr>
    </w:tblStylePr>
    <w:tblStylePr w:type="firstCol">
      <w:rPr>
        <w:b/>
        <w:bCs/>
      </w:rPr>
    </w:tblStylePr>
    <w:tblStylePr w:type="lastCol">
      <w:rPr>
        <w:b/>
        <w:bCs/>
      </w:rPr>
    </w:tblStylePr>
    <w:tblStylePr w:type="band1Vert">
      <w:tblPr/>
      <w:tcPr>
        <w:shd w:val="clear" w:color="auto" w:fill="FFF8C4" w:themeFill="accent5" w:themeFillTint="3F"/>
      </w:tcPr>
    </w:tblStylePr>
    <w:tblStylePr w:type="band1Horz">
      <w:tblPr/>
      <w:tcPr>
        <w:tcBorders>
          <w:insideH w:val="nil"/>
          <w:insideV w:val="nil"/>
        </w:tcBorders>
        <w:shd w:val="clear" w:color="auto" w:fill="FFF8C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tblBorders>
    </w:tblPr>
    <w:tblStylePr w:type="firstRow">
      <w:pPr>
        <w:spacing w:before="0" w:after="0" w:line="240" w:lineRule="auto"/>
      </w:pPr>
      <w:rPr>
        <w:b/>
        <w:bCs/>
        <w:color w:val="FFFFFF" w:themeColor="background1"/>
      </w:rPr>
      <w:tblPr/>
      <w:tcPr>
        <w:tc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shd w:val="clear" w:color="auto" w:fill="8C8279" w:themeFill="accent6"/>
      </w:tcPr>
    </w:tblStylePr>
    <w:tblStylePr w:type="lastRow">
      <w:pPr>
        <w:spacing w:before="0" w:after="0" w:line="240" w:lineRule="auto"/>
      </w:pPr>
      <w:rPr>
        <w:b/>
        <w:bCs/>
      </w:rPr>
      <w:tblPr/>
      <w:tcPr>
        <w:tcBorders>
          <w:top w:val="double" w:sz="6"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tcPr>
    </w:tblStylePr>
    <w:tblStylePr w:type="firstCol">
      <w:rPr>
        <w:b/>
        <w:bCs/>
      </w:rPr>
    </w:tblStylePr>
    <w:tblStylePr w:type="lastCol">
      <w:rPr>
        <w:b/>
        <w:bCs/>
      </w:rPr>
    </w:tblStylePr>
    <w:tblStylePr w:type="band1Vert">
      <w:tblPr/>
      <w:tcPr>
        <w:shd w:val="clear" w:color="auto" w:fill="E2E0DD" w:themeFill="accent6" w:themeFillTint="3F"/>
      </w:tcPr>
    </w:tblStylePr>
    <w:tblStylePr w:type="band1Horz">
      <w:tblPr/>
      <w:tcPr>
        <w:tcBorders>
          <w:insideH w:val="nil"/>
          <w:insideV w:val="nil"/>
        </w:tcBorders>
        <w:shd w:val="clear" w:color="auto" w:fill="E2E0DD"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B5E2"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B5E2" w:themeFill="accent1"/>
      </w:tcPr>
    </w:tblStylePr>
    <w:tblStylePr w:type="lastCol">
      <w:rPr>
        <w:b/>
        <w:bCs/>
        <w:color w:val="FFFFFF" w:themeColor="background1"/>
      </w:rPr>
      <w:tblPr/>
      <w:tcPr>
        <w:tcBorders>
          <w:left w:val="nil"/>
          <w:right w:val="nil"/>
          <w:insideH w:val="nil"/>
          <w:insideV w:val="nil"/>
        </w:tcBorders>
        <w:shd w:val="clear" w:color="auto" w:fill="00B5E2"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4BD00"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4BD00" w:themeFill="accent2"/>
      </w:tcPr>
    </w:tblStylePr>
    <w:tblStylePr w:type="lastCol">
      <w:rPr>
        <w:b/>
        <w:bCs/>
        <w:color w:val="FFFFFF" w:themeColor="background1"/>
      </w:rPr>
      <w:tblPr/>
      <w:tcPr>
        <w:tcBorders>
          <w:left w:val="nil"/>
          <w:right w:val="nil"/>
          <w:insideH w:val="nil"/>
          <w:insideV w:val="nil"/>
        </w:tcBorders>
        <w:shd w:val="clear" w:color="auto" w:fill="84BD00"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68B1F"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68B1F" w:themeFill="accent3"/>
      </w:tcPr>
    </w:tblStylePr>
    <w:tblStylePr w:type="lastCol">
      <w:rPr>
        <w:b/>
        <w:bCs/>
        <w:color w:val="FFFFFF" w:themeColor="background1"/>
      </w:rPr>
      <w:tblPr/>
      <w:tcPr>
        <w:tcBorders>
          <w:left w:val="nil"/>
          <w:right w:val="nil"/>
          <w:insideH w:val="nil"/>
          <w:insideV w:val="nil"/>
        </w:tcBorders>
        <w:shd w:val="clear" w:color="auto" w:fill="F68B1F"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E007E"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E007E" w:themeFill="accent4"/>
      </w:tcPr>
    </w:tblStylePr>
    <w:tblStylePr w:type="lastCol">
      <w:rPr>
        <w:b/>
        <w:bCs/>
        <w:color w:val="FFFFFF" w:themeColor="background1"/>
      </w:rPr>
      <w:tblPr/>
      <w:tcPr>
        <w:tcBorders>
          <w:left w:val="nil"/>
          <w:right w:val="nil"/>
          <w:insideH w:val="nil"/>
          <w:insideV w:val="nil"/>
        </w:tcBorders>
        <w:shd w:val="clear" w:color="auto" w:fill="9E007E"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E512"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E512" w:themeFill="accent5"/>
      </w:tcPr>
    </w:tblStylePr>
    <w:tblStylePr w:type="lastCol">
      <w:rPr>
        <w:b/>
        <w:bCs/>
        <w:color w:val="FFFFFF" w:themeColor="background1"/>
      </w:rPr>
      <w:tblPr/>
      <w:tcPr>
        <w:tcBorders>
          <w:left w:val="nil"/>
          <w:right w:val="nil"/>
          <w:insideH w:val="nil"/>
          <w:insideV w:val="nil"/>
        </w:tcBorders>
        <w:shd w:val="clear" w:color="auto" w:fill="FFE512"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C8279"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C8279" w:themeFill="accent6"/>
      </w:tcPr>
    </w:tblStylePr>
    <w:tblStylePr w:type="lastCol">
      <w:rPr>
        <w:b/>
        <w:bCs/>
        <w:color w:val="FFFFFF" w:themeColor="background1"/>
      </w:rPr>
      <w:tblPr/>
      <w:tcPr>
        <w:tcBorders>
          <w:left w:val="nil"/>
          <w:right w:val="nil"/>
          <w:insideH w:val="nil"/>
          <w:insideV w:val="nil"/>
        </w:tcBorders>
        <w:shd w:val="clear" w:color="auto" w:fill="8C8279"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Table3Deffects1">
    <w:name w:val="Table 3D effects 1"/>
    <w:basedOn w:val="TableNormal"/>
    <w:uiPriority w:val="99"/>
    <w:semiHidden/>
    <w:unhideWhenUsed/>
    <w:rsid w:val="009E6ED7"/>
    <w:pPr>
      <w:spacing w:line="24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9E6ED7"/>
    <w:pPr>
      <w:spacing w:line="24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9E6ED7"/>
    <w:pPr>
      <w:spacing w:line="24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9E6ED7"/>
    <w:pPr>
      <w:spacing w:line="24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9E6ED7"/>
    <w:pPr>
      <w:spacing w:line="24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9E6ED7"/>
    <w:pPr>
      <w:spacing w:line="24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9E6ED7"/>
    <w:pPr>
      <w:spacing w:line="24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9E6ED7"/>
    <w:pPr>
      <w:spacing w:line="24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9E6ED7"/>
    <w:pPr>
      <w:spacing w:line="24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9E6ED7"/>
    <w:pPr>
      <w:spacing w:line="24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9E6ED7"/>
    <w:pPr>
      <w:spacing w:line="24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9E6ED7"/>
    <w:pPr>
      <w:spacing w:line="24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9E6ED7"/>
    <w:pPr>
      <w:spacing w:line="24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9E6ED7"/>
    <w:pPr>
      <w:spacing w:line="24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9E6ED7"/>
    <w:pPr>
      <w:spacing w:line="24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9E6ED7"/>
    <w:pPr>
      <w:spacing w:line="24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9E6ED7"/>
    <w:pPr>
      <w:spacing w:line="24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9E6ED7"/>
    <w:pPr>
      <w:spacing w:line="24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9E6ED7"/>
    <w:pPr>
      <w:spacing w:line="24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9E6ED7"/>
    <w:pPr>
      <w:spacing w:line="24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rsid w:val="009E6ED7"/>
    <w:pPr>
      <w:spacing w:line="24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9E6ED7"/>
    <w:pPr>
      <w:spacing w:line="24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9E6ED7"/>
    <w:pPr>
      <w:spacing w:line="24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9E6ED7"/>
    <w:pPr>
      <w:spacing w:line="24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9E6ED7"/>
    <w:pPr>
      <w:spacing w:line="24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9E6ED7"/>
    <w:pPr>
      <w:spacing w:line="24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9E6ED7"/>
    <w:pPr>
      <w:spacing w:line="24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9E6ED7"/>
    <w:pPr>
      <w:spacing w:line="24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9E6ED7"/>
    <w:pPr>
      <w:spacing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rsid w:val="009E6ED7"/>
    <w:pPr>
      <w:spacing w:line="24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9E6ED7"/>
    <w:pPr>
      <w:spacing w:line="24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9E6ED7"/>
    <w:pPr>
      <w:spacing w:line="24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Header">
    <w:name w:val="header"/>
    <w:basedOn w:val="Normal"/>
    <w:link w:val="HeaderChar"/>
    <w:uiPriority w:val="99"/>
    <w:unhideWhenUsed/>
    <w:rsid w:val="007F6341"/>
    <w:pPr>
      <w:tabs>
        <w:tab w:val="center" w:pos="4513"/>
        <w:tab w:val="right" w:pos="9026"/>
      </w:tabs>
      <w:spacing w:line="240" w:lineRule="auto"/>
    </w:pPr>
    <w:rPr>
      <w:noProof/>
      <w:sz w:val="14"/>
    </w:rPr>
  </w:style>
  <w:style w:type="character" w:customStyle="1" w:styleId="HeaderChar">
    <w:name w:val="Header Char"/>
    <w:basedOn w:val="DefaultParagraphFont"/>
    <w:link w:val="Header"/>
    <w:uiPriority w:val="99"/>
    <w:rsid w:val="00F66A91"/>
    <w:rPr>
      <w:noProof/>
      <w:kern w:val="18"/>
      <w:sz w:val="14"/>
    </w:rPr>
  </w:style>
  <w:style w:type="paragraph" w:styleId="Footer">
    <w:name w:val="footer"/>
    <w:basedOn w:val="Normal"/>
    <w:link w:val="FooterChar"/>
    <w:uiPriority w:val="99"/>
    <w:unhideWhenUsed/>
    <w:rsid w:val="007F6341"/>
    <w:pPr>
      <w:tabs>
        <w:tab w:val="center" w:pos="4513"/>
        <w:tab w:val="right" w:pos="9026"/>
      </w:tabs>
      <w:spacing w:line="240" w:lineRule="auto"/>
    </w:pPr>
    <w:rPr>
      <w:noProof/>
      <w:sz w:val="14"/>
    </w:rPr>
  </w:style>
  <w:style w:type="character" w:customStyle="1" w:styleId="FooterChar">
    <w:name w:val="Footer Char"/>
    <w:basedOn w:val="DefaultParagraphFont"/>
    <w:link w:val="Footer"/>
    <w:uiPriority w:val="99"/>
    <w:rsid w:val="00F66A91"/>
    <w:rPr>
      <w:noProof/>
      <w:kern w:val="18"/>
      <w:sz w:val="14"/>
    </w:rPr>
  </w:style>
  <w:style w:type="numbering" w:customStyle="1" w:styleId="AECOMNumbering">
    <w:name w:val="AECOM Numbering"/>
    <w:basedOn w:val="NoList"/>
    <w:uiPriority w:val="99"/>
    <w:semiHidden/>
    <w:unhideWhenUsed/>
    <w:rsid w:val="00FF093C"/>
    <w:pPr>
      <w:numPr>
        <w:numId w:val="7"/>
      </w:numPr>
    </w:pPr>
  </w:style>
  <w:style w:type="numbering" w:customStyle="1" w:styleId="AECOMAppendix">
    <w:name w:val="AECOM Appendix"/>
    <w:uiPriority w:val="99"/>
    <w:semiHidden/>
    <w:unhideWhenUsed/>
    <w:rsid w:val="006A3705"/>
    <w:pPr>
      <w:numPr>
        <w:numId w:val="8"/>
      </w:numPr>
    </w:pPr>
  </w:style>
  <w:style w:type="character" w:customStyle="1" w:styleId="Heading6Char">
    <w:name w:val="Heading 6 Char"/>
    <w:basedOn w:val="DefaultParagraphFont"/>
    <w:link w:val="Heading6"/>
    <w:rsid w:val="00F66A91"/>
    <w:rPr>
      <w:rFonts w:asciiTheme="majorHAnsi" w:eastAsiaTheme="majorEastAsia" w:hAnsiTheme="majorHAnsi" w:cstheme="majorBidi"/>
      <w:i/>
      <w:iCs/>
      <w:color w:val="005970" w:themeColor="accent1" w:themeShade="7F"/>
      <w:kern w:val="18"/>
    </w:rPr>
  </w:style>
  <w:style w:type="character" w:customStyle="1" w:styleId="Heading7Char">
    <w:name w:val="Heading 7 Char"/>
    <w:basedOn w:val="DefaultParagraphFont"/>
    <w:link w:val="Heading7"/>
    <w:uiPriority w:val="9"/>
    <w:semiHidden/>
    <w:rsid w:val="00F66A91"/>
    <w:rPr>
      <w:rFonts w:asciiTheme="majorHAnsi" w:eastAsiaTheme="majorEastAsia" w:hAnsiTheme="majorHAnsi" w:cstheme="majorBidi"/>
      <w:i/>
      <w:iCs/>
      <w:color w:val="404040" w:themeColor="text1" w:themeTint="BF"/>
      <w:kern w:val="18"/>
    </w:rPr>
  </w:style>
  <w:style w:type="character" w:customStyle="1" w:styleId="Heading8Char">
    <w:name w:val="Heading 8 Char"/>
    <w:basedOn w:val="DefaultParagraphFont"/>
    <w:link w:val="Heading8"/>
    <w:uiPriority w:val="9"/>
    <w:semiHidden/>
    <w:rsid w:val="00F66A91"/>
    <w:rPr>
      <w:rFonts w:asciiTheme="majorHAnsi" w:eastAsiaTheme="majorEastAsia" w:hAnsiTheme="majorHAnsi" w:cstheme="majorBidi"/>
      <w:color w:val="404040" w:themeColor="text1" w:themeTint="BF"/>
      <w:kern w:val="18"/>
      <w:sz w:val="20"/>
      <w:szCs w:val="20"/>
    </w:rPr>
  </w:style>
  <w:style w:type="character" w:customStyle="1" w:styleId="Heading9Char">
    <w:name w:val="Heading 9 Char"/>
    <w:basedOn w:val="DefaultParagraphFont"/>
    <w:link w:val="Heading9"/>
    <w:uiPriority w:val="9"/>
    <w:semiHidden/>
    <w:rsid w:val="00F66A91"/>
    <w:rPr>
      <w:rFonts w:asciiTheme="majorHAnsi" w:eastAsiaTheme="majorEastAsia" w:hAnsiTheme="majorHAnsi" w:cstheme="majorBidi"/>
      <w:i/>
      <w:iCs/>
      <w:color w:val="404040" w:themeColor="text1" w:themeTint="BF"/>
      <w:kern w:val="18"/>
      <w:sz w:val="20"/>
      <w:szCs w:val="20"/>
    </w:rPr>
  </w:style>
  <w:style w:type="table" w:customStyle="1" w:styleId="Plaingrid">
    <w:name w:val="Plain grid"/>
    <w:basedOn w:val="TableNormal"/>
    <w:uiPriority w:val="99"/>
    <w:semiHidden/>
    <w:unhideWhenUsed/>
    <w:rsid w:val="00E772F5"/>
    <w:tblPr>
      <w:tblCellMar>
        <w:left w:w="0" w:type="dxa"/>
      </w:tblCellMar>
    </w:tblPr>
  </w:style>
  <w:style w:type="paragraph" w:styleId="Title">
    <w:name w:val="Title"/>
    <w:basedOn w:val="Normal"/>
    <w:next w:val="Normal"/>
    <w:link w:val="TitleChar"/>
    <w:uiPriority w:val="10"/>
    <w:semiHidden/>
    <w:unhideWhenUsed/>
    <w:rsid w:val="00AA75D4"/>
    <w:pPr>
      <w:spacing w:after="300" w:line="240" w:lineRule="auto"/>
      <w:contextualSpacing/>
    </w:pPr>
    <w:rPr>
      <w:rFonts w:asciiTheme="majorHAnsi" w:eastAsiaTheme="majorEastAsia" w:hAnsiTheme="majorHAnsi" w:cstheme="majorBidi"/>
      <w:color w:val="FFFFFF" w:themeColor="background1"/>
      <w:kern w:val="28"/>
      <w:sz w:val="48"/>
      <w:szCs w:val="52"/>
    </w:rPr>
  </w:style>
  <w:style w:type="character" w:customStyle="1" w:styleId="TitleChar">
    <w:name w:val="Title Char"/>
    <w:basedOn w:val="DefaultParagraphFont"/>
    <w:link w:val="Title"/>
    <w:uiPriority w:val="10"/>
    <w:semiHidden/>
    <w:rsid w:val="00F66A91"/>
    <w:rPr>
      <w:rFonts w:asciiTheme="majorHAnsi" w:eastAsiaTheme="majorEastAsia" w:hAnsiTheme="majorHAnsi" w:cstheme="majorBidi"/>
      <w:color w:val="FFFFFF" w:themeColor="background1"/>
      <w:kern w:val="28"/>
      <w:sz w:val="48"/>
      <w:szCs w:val="52"/>
    </w:rPr>
  </w:style>
  <w:style w:type="paragraph" w:styleId="TOCHeading">
    <w:name w:val="TOC Heading"/>
    <w:basedOn w:val="Heading1"/>
    <w:next w:val="Normal"/>
    <w:uiPriority w:val="39"/>
    <w:unhideWhenUsed/>
    <w:rsid w:val="000D13AF"/>
    <w:pPr>
      <w:spacing w:line="240" w:lineRule="atLeast"/>
      <w:ind w:left="0" w:firstLine="0"/>
      <w:outlineLvl w:val="9"/>
    </w:pPr>
    <w:rPr>
      <w:sz w:val="28"/>
    </w:rPr>
  </w:style>
  <w:style w:type="paragraph" w:styleId="Subtitle">
    <w:name w:val="Subtitle"/>
    <w:basedOn w:val="Normal"/>
    <w:next w:val="Normal"/>
    <w:link w:val="SubtitleChar"/>
    <w:uiPriority w:val="11"/>
    <w:unhideWhenUsed/>
    <w:rsid w:val="00AA75D4"/>
    <w:pPr>
      <w:numPr>
        <w:ilvl w:val="1"/>
      </w:numPr>
    </w:pPr>
    <w:rPr>
      <w:rFonts w:asciiTheme="majorHAnsi" w:eastAsiaTheme="majorEastAsia" w:hAnsiTheme="majorHAnsi" w:cstheme="majorBidi"/>
      <w:iCs/>
      <w:color w:val="FFFFFF" w:themeColor="background1"/>
      <w:sz w:val="24"/>
      <w:szCs w:val="24"/>
    </w:rPr>
  </w:style>
  <w:style w:type="character" w:customStyle="1" w:styleId="SubtitleChar">
    <w:name w:val="Subtitle Char"/>
    <w:basedOn w:val="DefaultParagraphFont"/>
    <w:link w:val="Subtitle"/>
    <w:uiPriority w:val="11"/>
    <w:rsid w:val="00F66A91"/>
    <w:rPr>
      <w:rFonts w:asciiTheme="majorHAnsi" w:eastAsiaTheme="majorEastAsia" w:hAnsiTheme="majorHAnsi" w:cstheme="majorBidi"/>
      <w:iCs/>
      <w:color w:val="FFFFFF" w:themeColor="background1"/>
      <w:kern w:val="18"/>
      <w:sz w:val="24"/>
      <w:szCs w:val="24"/>
    </w:rPr>
  </w:style>
  <w:style w:type="paragraph" w:styleId="TOC1">
    <w:name w:val="toc 1"/>
    <w:basedOn w:val="Normal"/>
    <w:next w:val="Normal"/>
    <w:autoRedefine/>
    <w:uiPriority w:val="39"/>
    <w:unhideWhenUsed/>
    <w:rsid w:val="003964F2"/>
    <w:pPr>
      <w:tabs>
        <w:tab w:val="clear" w:pos="284"/>
      </w:tabs>
      <w:spacing w:before="240" w:after="120"/>
    </w:pPr>
    <w:rPr>
      <w:rFonts w:cstheme="minorHAnsi"/>
      <w:b/>
      <w:bCs/>
      <w:sz w:val="20"/>
      <w:szCs w:val="20"/>
    </w:rPr>
  </w:style>
  <w:style w:type="paragraph" w:styleId="TOC2">
    <w:name w:val="toc 2"/>
    <w:basedOn w:val="Normal"/>
    <w:next w:val="Normal"/>
    <w:autoRedefine/>
    <w:uiPriority w:val="39"/>
    <w:unhideWhenUsed/>
    <w:rsid w:val="003964F2"/>
    <w:pPr>
      <w:tabs>
        <w:tab w:val="clear" w:pos="284"/>
      </w:tabs>
      <w:spacing w:before="120"/>
      <w:ind w:left="180"/>
    </w:pPr>
    <w:rPr>
      <w:rFonts w:cstheme="minorHAnsi"/>
      <w:i/>
      <w:iCs/>
      <w:sz w:val="20"/>
      <w:szCs w:val="20"/>
    </w:rPr>
  </w:style>
  <w:style w:type="paragraph" w:styleId="TOC3">
    <w:name w:val="toc 3"/>
    <w:basedOn w:val="Normal"/>
    <w:next w:val="Normal"/>
    <w:autoRedefine/>
    <w:uiPriority w:val="39"/>
    <w:unhideWhenUsed/>
    <w:rsid w:val="003964F2"/>
    <w:pPr>
      <w:tabs>
        <w:tab w:val="clear" w:pos="284"/>
      </w:tabs>
      <w:ind w:left="360"/>
    </w:pPr>
    <w:rPr>
      <w:rFonts w:cstheme="minorHAnsi"/>
      <w:sz w:val="20"/>
      <w:szCs w:val="20"/>
    </w:rPr>
  </w:style>
  <w:style w:type="paragraph" w:customStyle="1" w:styleId="Coverdata">
    <w:name w:val="Cover data"/>
    <w:basedOn w:val="Subtitle"/>
    <w:uiPriority w:val="1"/>
    <w:semiHidden/>
    <w:unhideWhenUsed/>
    <w:rsid w:val="00DA79BC"/>
    <w:pPr>
      <w:jc w:val="right"/>
    </w:pPr>
    <w:rPr>
      <w:sz w:val="16"/>
    </w:rPr>
  </w:style>
  <w:style w:type="paragraph" w:customStyle="1" w:styleId="Coverfooter">
    <w:name w:val="Cover footer"/>
    <w:basedOn w:val="Coverdata"/>
    <w:uiPriority w:val="1"/>
    <w:unhideWhenUsed/>
    <w:rsid w:val="00B97816"/>
    <w:pPr>
      <w:spacing w:line="200" w:lineRule="atLeast"/>
      <w:jc w:val="left"/>
    </w:pPr>
    <w:rPr>
      <w:rFonts w:asciiTheme="minorHAnsi" w:hAnsiTheme="minorHAnsi"/>
    </w:rPr>
  </w:style>
  <w:style w:type="paragraph" w:customStyle="1" w:styleId="Subtitleheading">
    <w:name w:val="Subtitle heading"/>
    <w:basedOn w:val="Subtitle"/>
    <w:uiPriority w:val="1"/>
    <w:semiHidden/>
    <w:unhideWhenUsed/>
    <w:rsid w:val="00AA75D4"/>
  </w:style>
  <w:style w:type="character" w:styleId="Strong">
    <w:name w:val="Strong"/>
    <w:basedOn w:val="DefaultParagraphFont"/>
    <w:uiPriority w:val="22"/>
    <w:semiHidden/>
    <w:unhideWhenUsed/>
    <w:rsid w:val="00542F08"/>
    <w:rPr>
      <w:b/>
      <w:bCs/>
    </w:rPr>
  </w:style>
  <w:style w:type="paragraph" w:styleId="CommentText">
    <w:name w:val="annotation text"/>
    <w:basedOn w:val="Normal"/>
    <w:link w:val="CommentTextChar"/>
    <w:uiPriority w:val="99"/>
    <w:semiHidden/>
    <w:unhideWhenUsed/>
    <w:rsid w:val="00542F08"/>
    <w:pPr>
      <w:spacing w:line="240" w:lineRule="auto"/>
    </w:pPr>
    <w:rPr>
      <w:sz w:val="20"/>
      <w:szCs w:val="20"/>
    </w:rPr>
  </w:style>
  <w:style w:type="character" w:customStyle="1" w:styleId="CommentTextChar">
    <w:name w:val="Comment Text Char"/>
    <w:basedOn w:val="DefaultParagraphFont"/>
    <w:link w:val="CommentText"/>
    <w:uiPriority w:val="99"/>
    <w:semiHidden/>
    <w:rsid w:val="00F66A91"/>
    <w:rPr>
      <w:kern w:val="18"/>
      <w:sz w:val="20"/>
      <w:szCs w:val="20"/>
    </w:rPr>
  </w:style>
  <w:style w:type="paragraph" w:styleId="CommentSubject">
    <w:name w:val="annotation subject"/>
    <w:basedOn w:val="CommentText"/>
    <w:next w:val="CommentText"/>
    <w:link w:val="CommentSubjectChar"/>
    <w:uiPriority w:val="99"/>
    <w:semiHidden/>
    <w:unhideWhenUsed/>
    <w:rsid w:val="00542F08"/>
    <w:rPr>
      <w:b/>
      <w:bCs/>
    </w:rPr>
  </w:style>
  <w:style w:type="character" w:customStyle="1" w:styleId="CommentSubjectChar">
    <w:name w:val="Comment Subject Char"/>
    <w:basedOn w:val="CommentTextChar"/>
    <w:link w:val="CommentSubject"/>
    <w:uiPriority w:val="99"/>
    <w:semiHidden/>
    <w:rsid w:val="00F66A91"/>
    <w:rPr>
      <w:b/>
      <w:bCs/>
      <w:kern w:val="18"/>
      <w:sz w:val="20"/>
      <w:szCs w:val="20"/>
    </w:rPr>
  </w:style>
  <w:style w:type="paragraph" w:customStyle="1" w:styleId="Heading">
    <w:name w:val="Heading"/>
    <w:basedOn w:val="BodyText"/>
    <w:next w:val="BodyText"/>
    <w:uiPriority w:val="1"/>
    <w:unhideWhenUsed/>
    <w:rsid w:val="008952D6"/>
    <w:pPr>
      <w:spacing w:after="120"/>
    </w:pPr>
    <w:rPr>
      <w:rFonts w:asciiTheme="majorHAnsi" w:hAnsiTheme="majorHAnsi" w:cstheme="majorHAnsi"/>
      <w:color w:val="000000" w:themeColor="text2"/>
      <w:sz w:val="24"/>
    </w:rPr>
  </w:style>
  <w:style w:type="paragraph" w:styleId="TableofFigures">
    <w:name w:val="table of figures"/>
    <w:basedOn w:val="Normal"/>
    <w:next w:val="Normal"/>
    <w:uiPriority w:val="99"/>
    <w:unhideWhenUsed/>
    <w:rsid w:val="00A34EE8"/>
    <w:pPr>
      <w:tabs>
        <w:tab w:val="clear" w:pos="284"/>
        <w:tab w:val="right" w:leader="dot" w:pos="9360"/>
      </w:tabs>
    </w:pPr>
  </w:style>
  <w:style w:type="numbering" w:customStyle="1" w:styleId="AECOMSectionnumbering">
    <w:name w:val="AECOM Section numbering"/>
    <w:uiPriority w:val="99"/>
    <w:semiHidden/>
    <w:unhideWhenUsed/>
    <w:rsid w:val="0055609F"/>
    <w:pPr>
      <w:numPr>
        <w:numId w:val="10"/>
      </w:numPr>
    </w:pPr>
  </w:style>
  <w:style w:type="paragraph" w:styleId="BalloonText">
    <w:name w:val="Balloon Text"/>
    <w:basedOn w:val="Normal"/>
    <w:link w:val="BalloonTextChar"/>
    <w:uiPriority w:val="99"/>
    <w:semiHidden/>
    <w:unhideWhenUsed/>
    <w:rsid w:val="00F97FCB"/>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66A91"/>
    <w:rPr>
      <w:rFonts w:ascii="Tahoma" w:hAnsi="Tahoma" w:cs="Tahoma"/>
      <w:kern w:val="18"/>
      <w:sz w:val="16"/>
      <w:szCs w:val="16"/>
    </w:rPr>
  </w:style>
  <w:style w:type="paragraph" w:styleId="Quote">
    <w:name w:val="Quote"/>
    <w:basedOn w:val="Normal"/>
    <w:next w:val="Normal"/>
    <w:link w:val="QuoteChar"/>
    <w:uiPriority w:val="22"/>
    <w:qFormat/>
    <w:rsid w:val="00854622"/>
    <w:pPr>
      <w:spacing w:after="120"/>
      <w:ind w:left="851" w:right="567"/>
    </w:pPr>
    <w:rPr>
      <w:i/>
      <w:iCs/>
      <w:color w:val="000000" w:themeColor="text1"/>
    </w:rPr>
  </w:style>
  <w:style w:type="character" w:customStyle="1" w:styleId="QuoteChar">
    <w:name w:val="Quote Char"/>
    <w:basedOn w:val="DefaultParagraphFont"/>
    <w:link w:val="Quote"/>
    <w:uiPriority w:val="20"/>
    <w:semiHidden/>
    <w:rsid w:val="00F66A91"/>
    <w:rPr>
      <w:i/>
      <w:iCs/>
      <w:color w:val="000000" w:themeColor="text1"/>
      <w:kern w:val="18"/>
    </w:rPr>
  </w:style>
  <w:style w:type="numbering" w:styleId="111111">
    <w:name w:val="Outline List 2"/>
    <w:basedOn w:val="NoList"/>
    <w:uiPriority w:val="99"/>
    <w:semiHidden/>
    <w:unhideWhenUsed/>
    <w:rsid w:val="004C255D"/>
    <w:pPr>
      <w:numPr>
        <w:numId w:val="11"/>
      </w:numPr>
    </w:pPr>
  </w:style>
  <w:style w:type="numbering" w:styleId="1ai">
    <w:name w:val="Outline List 1"/>
    <w:basedOn w:val="NoList"/>
    <w:uiPriority w:val="99"/>
    <w:semiHidden/>
    <w:unhideWhenUsed/>
    <w:rsid w:val="004C255D"/>
    <w:pPr>
      <w:numPr>
        <w:numId w:val="12"/>
      </w:numPr>
    </w:pPr>
  </w:style>
  <w:style w:type="numbering" w:styleId="ArticleSection">
    <w:name w:val="Outline List 3"/>
    <w:basedOn w:val="NoList"/>
    <w:uiPriority w:val="99"/>
    <w:semiHidden/>
    <w:unhideWhenUsed/>
    <w:rsid w:val="004C255D"/>
    <w:pPr>
      <w:numPr>
        <w:numId w:val="13"/>
      </w:numPr>
    </w:pPr>
  </w:style>
  <w:style w:type="paragraph" w:styleId="Bibliography">
    <w:name w:val="Bibliography"/>
    <w:basedOn w:val="Normal"/>
    <w:next w:val="Normal"/>
    <w:uiPriority w:val="37"/>
    <w:semiHidden/>
    <w:unhideWhenUsed/>
    <w:rsid w:val="004C255D"/>
  </w:style>
  <w:style w:type="paragraph" w:styleId="BlockText">
    <w:name w:val="Block Text"/>
    <w:basedOn w:val="Normal"/>
    <w:uiPriority w:val="99"/>
    <w:semiHidden/>
    <w:unhideWhenUsed/>
    <w:rsid w:val="004C255D"/>
    <w:pPr>
      <w:pBdr>
        <w:top w:val="single" w:sz="2" w:space="10" w:color="00B5E2" w:themeColor="accent1" w:shadow="1" w:frame="1"/>
        <w:left w:val="single" w:sz="2" w:space="10" w:color="00B5E2" w:themeColor="accent1" w:shadow="1" w:frame="1"/>
        <w:bottom w:val="single" w:sz="2" w:space="10" w:color="00B5E2" w:themeColor="accent1" w:shadow="1" w:frame="1"/>
        <w:right w:val="single" w:sz="2" w:space="10" w:color="00B5E2" w:themeColor="accent1" w:shadow="1" w:frame="1"/>
      </w:pBdr>
      <w:ind w:left="1152" w:right="1152"/>
    </w:pPr>
    <w:rPr>
      <w:rFonts w:eastAsiaTheme="minorEastAsia"/>
      <w:i/>
      <w:iCs/>
      <w:color w:val="00B5E2" w:themeColor="accent1"/>
    </w:rPr>
  </w:style>
  <w:style w:type="paragraph" w:styleId="BodyText2">
    <w:name w:val="Body Text 2"/>
    <w:basedOn w:val="Normal"/>
    <w:link w:val="BodyText2Char"/>
    <w:uiPriority w:val="99"/>
    <w:semiHidden/>
    <w:unhideWhenUsed/>
    <w:rsid w:val="004C255D"/>
    <w:pPr>
      <w:spacing w:after="120" w:line="480" w:lineRule="auto"/>
    </w:pPr>
  </w:style>
  <w:style w:type="character" w:customStyle="1" w:styleId="BodyText2Char">
    <w:name w:val="Body Text 2 Char"/>
    <w:basedOn w:val="DefaultParagraphFont"/>
    <w:link w:val="BodyText2"/>
    <w:uiPriority w:val="99"/>
    <w:semiHidden/>
    <w:rsid w:val="00F66A91"/>
    <w:rPr>
      <w:kern w:val="18"/>
    </w:rPr>
  </w:style>
  <w:style w:type="paragraph" w:styleId="BodyText3">
    <w:name w:val="Body Text 3"/>
    <w:basedOn w:val="Normal"/>
    <w:link w:val="BodyText3Char"/>
    <w:uiPriority w:val="99"/>
    <w:semiHidden/>
    <w:unhideWhenUsed/>
    <w:rsid w:val="004C255D"/>
    <w:pPr>
      <w:spacing w:after="120"/>
    </w:pPr>
    <w:rPr>
      <w:sz w:val="16"/>
      <w:szCs w:val="16"/>
    </w:rPr>
  </w:style>
  <w:style w:type="character" w:customStyle="1" w:styleId="BodyText3Char">
    <w:name w:val="Body Text 3 Char"/>
    <w:basedOn w:val="DefaultParagraphFont"/>
    <w:link w:val="BodyText3"/>
    <w:uiPriority w:val="99"/>
    <w:semiHidden/>
    <w:rsid w:val="00F66A91"/>
    <w:rPr>
      <w:kern w:val="18"/>
      <w:sz w:val="16"/>
      <w:szCs w:val="16"/>
    </w:rPr>
  </w:style>
  <w:style w:type="paragraph" w:styleId="BodyTextFirstIndent">
    <w:name w:val="Body Text First Indent"/>
    <w:basedOn w:val="BodyText"/>
    <w:link w:val="BodyTextFirstIndentChar"/>
    <w:uiPriority w:val="99"/>
    <w:semiHidden/>
    <w:unhideWhenUsed/>
    <w:rsid w:val="004C255D"/>
    <w:pPr>
      <w:spacing w:after="0"/>
      <w:ind w:firstLine="360"/>
    </w:pPr>
  </w:style>
  <w:style w:type="character" w:customStyle="1" w:styleId="BodyTextFirstIndentChar">
    <w:name w:val="Body Text First Indent Char"/>
    <w:basedOn w:val="BodyTextChar"/>
    <w:link w:val="BodyTextFirstIndent"/>
    <w:uiPriority w:val="99"/>
    <w:semiHidden/>
    <w:rsid w:val="00F66A91"/>
    <w:rPr>
      <w:kern w:val="18"/>
    </w:rPr>
  </w:style>
  <w:style w:type="paragraph" w:styleId="BodyTextIndent">
    <w:name w:val="Body Text Indent"/>
    <w:basedOn w:val="Normal"/>
    <w:link w:val="BodyTextIndentChar"/>
    <w:uiPriority w:val="99"/>
    <w:semiHidden/>
    <w:unhideWhenUsed/>
    <w:rsid w:val="004C255D"/>
    <w:pPr>
      <w:spacing w:after="120"/>
      <w:ind w:left="283"/>
    </w:pPr>
  </w:style>
  <w:style w:type="character" w:customStyle="1" w:styleId="BodyTextIndentChar">
    <w:name w:val="Body Text Indent Char"/>
    <w:basedOn w:val="DefaultParagraphFont"/>
    <w:link w:val="BodyTextIndent"/>
    <w:uiPriority w:val="99"/>
    <w:semiHidden/>
    <w:rsid w:val="00F66A91"/>
    <w:rPr>
      <w:kern w:val="18"/>
    </w:rPr>
  </w:style>
  <w:style w:type="paragraph" w:styleId="BodyTextFirstIndent2">
    <w:name w:val="Body Text First Indent 2"/>
    <w:basedOn w:val="BodyTextIndent"/>
    <w:link w:val="BodyTextFirstIndent2Char"/>
    <w:uiPriority w:val="99"/>
    <w:semiHidden/>
    <w:unhideWhenUsed/>
    <w:rsid w:val="004C255D"/>
    <w:pPr>
      <w:spacing w:after="0"/>
      <w:ind w:left="360" w:firstLine="360"/>
    </w:pPr>
  </w:style>
  <w:style w:type="character" w:customStyle="1" w:styleId="BodyTextFirstIndent2Char">
    <w:name w:val="Body Text First Indent 2 Char"/>
    <w:basedOn w:val="BodyTextIndentChar"/>
    <w:link w:val="BodyTextFirstIndent2"/>
    <w:uiPriority w:val="99"/>
    <w:semiHidden/>
    <w:rsid w:val="00F66A91"/>
    <w:rPr>
      <w:kern w:val="18"/>
    </w:rPr>
  </w:style>
  <w:style w:type="paragraph" w:styleId="BodyTextIndent2">
    <w:name w:val="Body Text Indent 2"/>
    <w:basedOn w:val="Normal"/>
    <w:link w:val="BodyTextIndent2Char"/>
    <w:uiPriority w:val="99"/>
    <w:semiHidden/>
    <w:unhideWhenUsed/>
    <w:rsid w:val="004C255D"/>
    <w:pPr>
      <w:spacing w:after="120" w:line="480" w:lineRule="auto"/>
      <w:ind w:left="283"/>
    </w:pPr>
  </w:style>
  <w:style w:type="character" w:customStyle="1" w:styleId="BodyTextIndent2Char">
    <w:name w:val="Body Text Indent 2 Char"/>
    <w:basedOn w:val="DefaultParagraphFont"/>
    <w:link w:val="BodyTextIndent2"/>
    <w:uiPriority w:val="99"/>
    <w:semiHidden/>
    <w:rsid w:val="00F66A91"/>
    <w:rPr>
      <w:kern w:val="18"/>
    </w:rPr>
  </w:style>
  <w:style w:type="paragraph" w:styleId="BodyTextIndent3">
    <w:name w:val="Body Text Indent 3"/>
    <w:basedOn w:val="Normal"/>
    <w:link w:val="BodyTextIndent3Char"/>
    <w:uiPriority w:val="99"/>
    <w:semiHidden/>
    <w:unhideWhenUsed/>
    <w:rsid w:val="004C255D"/>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F66A91"/>
    <w:rPr>
      <w:kern w:val="18"/>
      <w:sz w:val="16"/>
      <w:szCs w:val="16"/>
    </w:rPr>
  </w:style>
  <w:style w:type="character" w:styleId="BookTitle">
    <w:name w:val="Book Title"/>
    <w:basedOn w:val="DefaultParagraphFont"/>
    <w:uiPriority w:val="33"/>
    <w:semiHidden/>
    <w:unhideWhenUsed/>
    <w:rsid w:val="004C255D"/>
    <w:rPr>
      <w:b/>
      <w:bCs/>
      <w:smallCaps/>
      <w:spacing w:val="5"/>
    </w:rPr>
  </w:style>
  <w:style w:type="paragraph" w:styleId="Closing">
    <w:name w:val="Closing"/>
    <w:basedOn w:val="Normal"/>
    <w:link w:val="ClosingChar"/>
    <w:uiPriority w:val="99"/>
    <w:semiHidden/>
    <w:unhideWhenUsed/>
    <w:rsid w:val="004C255D"/>
    <w:pPr>
      <w:spacing w:line="240" w:lineRule="auto"/>
      <w:ind w:left="4252"/>
    </w:pPr>
  </w:style>
  <w:style w:type="character" w:customStyle="1" w:styleId="ClosingChar">
    <w:name w:val="Closing Char"/>
    <w:basedOn w:val="DefaultParagraphFont"/>
    <w:link w:val="Closing"/>
    <w:uiPriority w:val="99"/>
    <w:semiHidden/>
    <w:rsid w:val="00F66A91"/>
    <w:rPr>
      <w:kern w:val="18"/>
    </w:rPr>
  </w:style>
  <w:style w:type="character" w:styleId="CommentReference">
    <w:name w:val="annotation reference"/>
    <w:basedOn w:val="DefaultParagraphFont"/>
    <w:uiPriority w:val="99"/>
    <w:semiHidden/>
    <w:unhideWhenUsed/>
    <w:rsid w:val="004C255D"/>
    <w:rPr>
      <w:sz w:val="16"/>
      <w:szCs w:val="16"/>
    </w:rPr>
  </w:style>
  <w:style w:type="paragraph" w:styleId="Date">
    <w:name w:val="Date"/>
    <w:basedOn w:val="Normal"/>
    <w:next w:val="Normal"/>
    <w:link w:val="DateChar"/>
    <w:uiPriority w:val="99"/>
    <w:semiHidden/>
    <w:unhideWhenUsed/>
    <w:rsid w:val="004C255D"/>
  </w:style>
  <w:style w:type="character" w:customStyle="1" w:styleId="DateChar">
    <w:name w:val="Date Char"/>
    <w:basedOn w:val="DefaultParagraphFont"/>
    <w:link w:val="Date"/>
    <w:uiPriority w:val="99"/>
    <w:semiHidden/>
    <w:rsid w:val="00F66A91"/>
    <w:rPr>
      <w:kern w:val="18"/>
    </w:rPr>
  </w:style>
  <w:style w:type="paragraph" w:styleId="DocumentMap">
    <w:name w:val="Document Map"/>
    <w:basedOn w:val="Normal"/>
    <w:link w:val="DocumentMapChar"/>
    <w:uiPriority w:val="99"/>
    <w:semiHidden/>
    <w:unhideWhenUsed/>
    <w:rsid w:val="004C255D"/>
    <w:pPr>
      <w:spacing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F66A91"/>
    <w:rPr>
      <w:rFonts w:ascii="Tahoma" w:hAnsi="Tahoma" w:cs="Tahoma"/>
      <w:kern w:val="18"/>
      <w:sz w:val="16"/>
      <w:szCs w:val="16"/>
    </w:rPr>
  </w:style>
  <w:style w:type="paragraph" w:styleId="E-mailSignature">
    <w:name w:val="E-mail Signature"/>
    <w:basedOn w:val="Normal"/>
    <w:link w:val="E-mailSignatureChar"/>
    <w:uiPriority w:val="99"/>
    <w:semiHidden/>
    <w:unhideWhenUsed/>
    <w:rsid w:val="004C255D"/>
    <w:pPr>
      <w:spacing w:line="240" w:lineRule="auto"/>
    </w:pPr>
  </w:style>
  <w:style w:type="character" w:customStyle="1" w:styleId="E-mailSignatureChar">
    <w:name w:val="E-mail Signature Char"/>
    <w:basedOn w:val="DefaultParagraphFont"/>
    <w:link w:val="E-mailSignature"/>
    <w:uiPriority w:val="99"/>
    <w:semiHidden/>
    <w:rsid w:val="00F66A91"/>
    <w:rPr>
      <w:kern w:val="18"/>
    </w:rPr>
  </w:style>
  <w:style w:type="character" w:styleId="Emphasis">
    <w:name w:val="Emphasis"/>
    <w:basedOn w:val="DefaultParagraphFont"/>
    <w:uiPriority w:val="20"/>
    <w:semiHidden/>
    <w:unhideWhenUsed/>
    <w:rsid w:val="004C255D"/>
    <w:rPr>
      <w:i/>
      <w:iCs/>
    </w:rPr>
  </w:style>
  <w:style w:type="character" w:styleId="EndnoteReference">
    <w:name w:val="endnote reference"/>
    <w:basedOn w:val="DefaultParagraphFont"/>
    <w:uiPriority w:val="99"/>
    <w:semiHidden/>
    <w:unhideWhenUsed/>
    <w:rsid w:val="004C255D"/>
    <w:rPr>
      <w:vertAlign w:val="superscript"/>
    </w:rPr>
  </w:style>
  <w:style w:type="paragraph" w:styleId="EndnoteText">
    <w:name w:val="endnote text"/>
    <w:basedOn w:val="Normal"/>
    <w:link w:val="EndnoteTextChar"/>
    <w:uiPriority w:val="99"/>
    <w:semiHidden/>
    <w:unhideWhenUsed/>
    <w:rsid w:val="004C255D"/>
    <w:pPr>
      <w:spacing w:line="240" w:lineRule="auto"/>
    </w:pPr>
    <w:rPr>
      <w:sz w:val="20"/>
      <w:szCs w:val="20"/>
    </w:rPr>
  </w:style>
  <w:style w:type="character" w:customStyle="1" w:styleId="EndnoteTextChar">
    <w:name w:val="Endnote Text Char"/>
    <w:basedOn w:val="DefaultParagraphFont"/>
    <w:link w:val="EndnoteText"/>
    <w:uiPriority w:val="99"/>
    <w:semiHidden/>
    <w:rsid w:val="00F66A91"/>
    <w:rPr>
      <w:kern w:val="18"/>
      <w:sz w:val="20"/>
      <w:szCs w:val="20"/>
    </w:rPr>
  </w:style>
  <w:style w:type="paragraph" w:styleId="EnvelopeAddress">
    <w:name w:val="envelope address"/>
    <w:basedOn w:val="Normal"/>
    <w:uiPriority w:val="99"/>
    <w:semiHidden/>
    <w:unhideWhenUsed/>
    <w:rsid w:val="004C255D"/>
    <w:pPr>
      <w:framePr w:w="7920" w:h="1980" w:hRule="exact" w:hSpace="180" w:wrap="auto" w:hAnchor="page" w:xAlign="center" w:yAlign="bottom"/>
      <w:spacing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4C255D"/>
    <w:pPr>
      <w:spacing w:line="240" w:lineRule="auto"/>
    </w:pPr>
    <w:rPr>
      <w:rFonts w:asciiTheme="majorHAnsi" w:eastAsiaTheme="majorEastAsia" w:hAnsiTheme="majorHAnsi" w:cstheme="majorBidi"/>
      <w:sz w:val="20"/>
      <w:szCs w:val="20"/>
    </w:rPr>
  </w:style>
  <w:style w:type="character" w:styleId="HTMLAcronym">
    <w:name w:val="HTML Acronym"/>
    <w:basedOn w:val="DefaultParagraphFont"/>
    <w:uiPriority w:val="99"/>
    <w:semiHidden/>
    <w:unhideWhenUsed/>
    <w:rsid w:val="004C255D"/>
  </w:style>
  <w:style w:type="paragraph" w:styleId="HTMLAddress">
    <w:name w:val="HTML Address"/>
    <w:basedOn w:val="Normal"/>
    <w:link w:val="HTMLAddressChar"/>
    <w:uiPriority w:val="99"/>
    <w:semiHidden/>
    <w:unhideWhenUsed/>
    <w:rsid w:val="004C255D"/>
    <w:pPr>
      <w:spacing w:line="240" w:lineRule="auto"/>
    </w:pPr>
    <w:rPr>
      <w:i/>
      <w:iCs/>
    </w:rPr>
  </w:style>
  <w:style w:type="character" w:customStyle="1" w:styleId="HTMLAddressChar">
    <w:name w:val="HTML Address Char"/>
    <w:basedOn w:val="DefaultParagraphFont"/>
    <w:link w:val="HTMLAddress"/>
    <w:uiPriority w:val="99"/>
    <w:semiHidden/>
    <w:rsid w:val="00F66A91"/>
    <w:rPr>
      <w:i/>
      <w:iCs/>
      <w:kern w:val="18"/>
    </w:rPr>
  </w:style>
  <w:style w:type="character" w:styleId="HTMLCite">
    <w:name w:val="HTML Cite"/>
    <w:basedOn w:val="DefaultParagraphFont"/>
    <w:uiPriority w:val="99"/>
    <w:semiHidden/>
    <w:unhideWhenUsed/>
    <w:rsid w:val="004C255D"/>
    <w:rPr>
      <w:i/>
      <w:iCs/>
    </w:rPr>
  </w:style>
  <w:style w:type="character" w:styleId="HTMLCode">
    <w:name w:val="HTML Code"/>
    <w:basedOn w:val="DefaultParagraphFont"/>
    <w:uiPriority w:val="99"/>
    <w:semiHidden/>
    <w:unhideWhenUsed/>
    <w:rsid w:val="004C255D"/>
    <w:rPr>
      <w:rFonts w:ascii="Consolas" w:hAnsi="Consolas"/>
      <w:sz w:val="20"/>
      <w:szCs w:val="20"/>
    </w:rPr>
  </w:style>
  <w:style w:type="character" w:styleId="HTMLDefinition">
    <w:name w:val="HTML Definition"/>
    <w:basedOn w:val="DefaultParagraphFont"/>
    <w:uiPriority w:val="99"/>
    <w:semiHidden/>
    <w:unhideWhenUsed/>
    <w:rsid w:val="004C255D"/>
    <w:rPr>
      <w:i/>
      <w:iCs/>
    </w:rPr>
  </w:style>
  <w:style w:type="character" w:styleId="HTMLKeyboard">
    <w:name w:val="HTML Keyboard"/>
    <w:basedOn w:val="DefaultParagraphFont"/>
    <w:uiPriority w:val="99"/>
    <w:semiHidden/>
    <w:unhideWhenUsed/>
    <w:rsid w:val="004C255D"/>
    <w:rPr>
      <w:rFonts w:ascii="Consolas" w:hAnsi="Consolas"/>
      <w:sz w:val="20"/>
      <w:szCs w:val="20"/>
    </w:rPr>
  </w:style>
  <w:style w:type="paragraph" w:styleId="HTMLPreformatted">
    <w:name w:val="HTML Preformatted"/>
    <w:basedOn w:val="Normal"/>
    <w:link w:val="HTMLPreformattedChar"/>
    <w:uiPriority w:val="99"/>
    <w:semiHidden/>
    <w:unhideWhenUsed/>
    <w:rsid w:val="004C255D"/>
    <w:pPr>
      <w:spacing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F66A91"/>
    <w:rPr>
      <w:rFonts w:ascii="Consolas" w:hAnsi="Consolas"/>
      <w:kern w:val="18"/>
      <w:sz w:val="20"/>
      <w:szCs w:val="20"/>
    </w:rPr>
  </w:style>
  <w:style w:type="character" w:styleId="HTMLSample">
    <w:name w:val="HTML Sample"/>
    <w:basedOn w:val="DefaultParagraphFont"/>
    <w:uiPriority w:val="99"/>
    <w:semiHidden/>
    <w:unhideWhenUsed/>
    <w:rsid w:val="004C255D"/>
    <w:rPr>
      <w:rFonts w:ascii="Consolas" w:hAnsi="Consolas"/>
      <w:sz w:val="24"/>
      <w:szCs w:val="24"/>
    </w:rPr>
  </w:style>
  <w:style w:type="character" w:styleId="HTMLTypewriter">
    <w:name w:val="HTML Typewriter"/>
    <w:basedOn w:val="DefaultParagraphFont"/>
    <w:uiPriority w:val="99"/>
    <w:semiHidden/>
    <w:unhideWhenUsed/>
    <w:rsid w:val="004C255D"/>
    <w:rPr>
      <w:rFonts w:ascii="Consolas" w:hAnsi="Consolas"/>
      <w:sz w:val="20"/>
      <w:szCs w:val="20"/>
    </w:rPr>
  </w:style>
  <w:style w:type="character" w:styleId="HTMLVariable">
    <w:name w:val="HTML Variable"/>
    <w:basedOn w:val="DefaultParagraphFont"/>
    <w:uiPriority w:val="99"/>
    <w:semiHidden/>
    <w:unhideWhenUsed/>
    <w:rsid w:val="004C255D"/>
    <w:rPr>
      <w:i/>
      <w:iCs/>
    </w:rPr>
  </w:style>
  <w:style w:type="paragraph" w:styleId="Index1">
    <w:name w:val="index 1"/>
    <w:basedOn w:val="Normal"/>
    <w:next w:val="Normal"/>
    <w:autoRedefine/>
    <w:uiPriority w:val="99"/>
    <w:semiHidden/>
    <w:unhideWhenUsed/>
    <w:rsid w:val="004C255D"/>
    <w:pPr>
      <w:tabs>
        <w:tab w:val="clear" w:pos="284"/>
      </w:tabs>
      <w:spacing w:line="240" w:lineRule="auto"/>
      <w:ind w:left="180" w:hanging="180"/>
    </w:pPr>
  </w:style>
  <w:style w:type="paragraph" w:styleId="Index2">
    <w:name w:val="index 2"/>
    <w:basedOn w:val="Normal"/>
    <w:next w:val="Normal"/>
    <w:autoRedefine/>
    <w:uiPriority w:val="99"/>
    <w:semiHidden/>
    <w:unhideWhenUsed/>
    <w:rsid w:val="004C255D"/>
    <w:pPr>
      <w:tabs>
        <w:tab w:val="clear" w:pos="284"/>
      </w:tabs>
      <w:spacing w:line="240" w:lineRule="auto"/>
      <w:ind w:left="360" w:hanging="180"/>
    </w:pPr>
  </w:style>
  <w:style w:type="paragraph" w:styleId="Index3">
    <w:name w:val="index 3"/>
    <w:basedOn w:val="Normal"/>
    <w:next w:val="Normal"/>
    <w:autoRedefine/>
    <w:uiPriority w:val="99"/>
    <w:semiHidden/>
    <w:unhideWhenUsed/>
    <w:rsid w:val="004C255D"/>
    <w:pPr>
      <w:tabs>
        <w:tab w:val="clear" w:pos="284"/>
      </w:tabs>
      <w:spacing w:line="240" w:lineRule="auto"/>
      <w:ind w:left="540" w:hanging="180"/>
    </w:pPr>
  </w:style>
  <w:style w:type="paragraph" w:styleId="Index4">
    <w:name w:val="index 4"/>
    <w:basedOn w:val="Normal"/>
    <w:next w:val="Normal"/>
    <w:autoRedefine/>
    <w:uiPriority w:val="99"/>
    <w:semiHidden/>
    <w:unhideWhenUsed/>
    <w:rsid w:val="004C255D"/>
    <w:pPr>
      <w:tabs>
        <w:tab w:val="clear" w:pos="284"/>
      </w:tabs>
      <w:spacing w:line="240" w:lineRule="auto"/>
      <w:ind w:left="720" w:hanging="180"/>
    </w:pPr>
  </w:style>
  <w:style w:type="paragraph" w:styleId="Index5">
    <w:name w:val="index 5"/>
    <w:basedOn w:val="Normal"/>
    <w:next w:val="Normal"/>
    <w:autoRedefine/>
    <w:uiPriority w:val="99"/>
    <w:semiHidden/>
    <w:unhideWhenUsed/>
    <w:rsid w:val="004C255D"/>
    <w:pPr>
      <w:tabs>
        <w:tab w:val="clear" w:pos="284"/>
      </w:tabs>
      <w:spacing w:line="240" w:lineRule="auto"/>
      <w:ind w:left="900" w:hanging="180"/>
    </w:pPr>
  </w:style>
  <w:style w:type="paragraph" w:styleId="Index6">
    <w:name w:val="index 6"/>
    <w:basedOn w:val="Normal"/>
    <w:next w:val="Normal"/>
    <w:autoRedefine/>
    <w:uiPriority w:val="99"/>
    <w:semiHidden/>
    <w:unhideWhenUsed/>
    <w:rsid w:val="004C255D"/>
    <w:pPr>
      <w:tabs>
        <w:tab w:val="clear" w:pos="284"/>
      </w:tabs>
      <w:spacing w:line="240" w:lineRule="auto"/>
      <w:ind w:left="1080" w:hanging="180"/>
    </w:pPr>
  </w:style>
  <w:style w:type="paragraph" w:styleId="Index7">
    <w:name w:val="index 7"/>
    <w:basedOn w:val="Normal"/>
    <w:next w:val="Normal"/>
    <w:autoRedefine/>
    <w:uiPriority w:val="99"/>
    <w:semiHidden/>
    <w:unhideWhenUsed/>
    <w:rsid w:val="004C255D"/>
    <w:pPr>
      <w:tabs>
        <w:tab w:val="clear" w:pos="284"/>
      </w:tabs>
      <w:spacing w:line="240" w:lineRule="auto"/>
      <w:ind w:left="1260" w:hanging="180"/>
    </w:pPr>
  </w:style>
  <w:style w:type="paragraph" w:styleId="Index8">
    <w:name w:val="index 8"/>
    <w:basedOn w:val="Normal"/>
    <w:next w:val="Normal"/>
    <w:autoRedefine/>
    <w:uiPriority w:val="99"/>
    <w:semiHidden/>
    <w:unhideWhenUsed/>
    <w:rsid w:val="004C255D"/>
    <w:pPr>
      <w:tabs>
        <w:tab w:val="clear" w:pos="284"/>
      </w:tabs>
      <w:spacing w:line="240" w:lineRule="auto"/>
      <w:ind w:left="1440" w:hanging="180"/>
    </w:pPr>
  </w:style>
  <w:style w:type="paragraph" w:styleId="Index9">
    <w:name w:val="index 9"/>
    <w:basedOn w:val="Normal"/>
    <w:next w:val="Normal"/>
    <w:autoRedefine/>
    <w:uiPriority w:val="99"/>
    <w:semiHidden/>
    <w:unhideWhenUsed/>
    <w:rsid w:val="004C255D"/>
    <w:pPr>
      <w:tabs>
        <w:tab w:val="clear" w:pos="284"/>
      </w:tabs>
      <w:spacing w:line="240" w:lineRule="auto"/>
      <w:ind w:left="1620" w:hanging="180"/>
    </w:pPr>
  </w:style>
  <w:style w:type="paragraph" w:styleId="IndexHeading">
    <w:name w:val="index heading"/>
    <w:basedOn w:val="Normal"/>
    <w:next w:val="Index1"/>
    <w:uiPriority w:val="99"/>
    <w:semiHidden/>
    <w:unhideWhenUsed/>
    <w:rsid w:val="004C255D"/>
    <w:rPr>
      <w:rFonts w:asciiTheme="majorHAnsi" w:eastAsiaTheme="majorEastAsia" w:hAnsiTheme="majorHAnsi" w:cstheme="majorBidi"/>
      <w:b/>
      <w:bCs/>
    </w:rPr>
  </w:style>
  <w:style w:type="character" w:styleId="IntenseEmphasis">
    <w:name w:val="Intense Emphasis"/>
    <w:basedOn w:val="DefaultParagraphFont"/>
    <w:uiPriority w:val="21"/>
    <w:semiHidden/>
    <w:unhideWhenUsed/>
    <w:rsid w:val="004C255D"/>
    <w:rPr>
      <w:b/>
      <w:bCs/>
      <w:i/>
      <w:iCs/>
      <w:color w:val="00B5E2" w:themeColor="accent1"/>
    </w:rPr>
  </w:style>
  <w:style w:type="paragraph" w:styleId="IntenseQuote">
    <w:name w:val="Intense Quote"/>
    <w:basedOn w:val="Normal"/>
    <w:next w:val="Normal"/>
    <w:link w:val="IntenseQuoteChar"/>
    <w:uiPriority w:val="30"/>
    <w:semiHidden/>
    <w:unhideWhenUsed/>
    <w:rsid w:val="004C255D"/>
    <w:pPr>
      <w:pBdr>
        <w:bottom w:val="single" w:sz="4" w:space="4" w:color="00B5E2" w:themeColor="accent1"/>
      </w:pBdr>
      <w:spacing w:before="200" w:after="280"/>
      <w:ind w:left="936" w:right="936"/>
    </w:pPr>
    <w:rPr>
      <w:b/>
      <w:bCs/>
      <w:i/>
      <w:iCs/>
      <w:color w:val="00B5E2" w:themeColor="accent1"/>
    </w:rPr>
  </w:style>
  <w:style w:type="character" w:customStyle="1" w:styleId="IntenseQuoteChar">
    <w:name w:val="Intense Quote Char"/>
    <w:basedOn w:val="DefaultParagraphFont"/>
    <w:link w:val="IntenseQuote"/>
    <w:uiPriority w:val="30"/>
    <w:semiHidden/>
    <w:rsid w:val="00F66A91"/>
    <w:rPr>
      <w:b/>
      <w:bCs/>
      <w:i/>
      <w:iCs/>
      <w:color w:val="00B5E2" w:themeColor="accent1"/>
      <w:kern w:val="18"/>
    </w:rPr>
  </w:style>
  <w:style w:type="character" w:styleId="IntenseReference">
    <w:name w:val="Intense Reference"/>
    <w:basedOn w:val="DefaultParagraphFont"/>
    <w:uiPriority w:val="32"/>
    <w:semiHidden/>
    <w:unhideWhenUsed/>
    <w:rsid w:val="004C255D"/>
    <w:rPr>
      <w:b/>
      <w:bCs/>
      <w:smallCaps/>
      <w:color w:val="84BD00" w:themeColor="accent2"/>
      <w:spacing w:val="5"/>
      <w:u w:val="single"/>
    </w:rPr>
  </w:style>
  <w:style w:type="character" w:styleId="LineNumber">
    <w:name w:val="line number"/>
    <w:basedOn w:val="DefaultParagraphFont"/>
    <w:uiPriority w:val="99"/>
    <w:semiHidden/>
    <w:unhideWhenUsed/>
    <w:rsid w:val="004C255D"/>
  </w:style>
  <w:style w:type="paragraph" w:styleId="List">
    <w:name w:val="List"/>
    <w:basedOn w:val="Normal"/>
    <w:uiPriority w:val="99"/>
    <w:semiHidden/>
    <w:unhideWhenUsed/>
    <w:rsid w:val="004C255D"/>
    <w:pPr>
      <w:ind w:left="283" w:hanging="283"/>
      <w:contextualSpacing/>
    </w:pPr>
  </w:style>
  <w:style w:type="paragraph" w:styleId="List2">
    <w:name w:val="List 2"/>
    <w:basedOn w:val="Normal"/>
    <w:uiPriority w:val="99"/>
    <w:semiHidden/>
    <w:unhideWhenUsed/>
    <w:rsid w:val="004C255D"/>
    <w:pPr>
      <w:ind w:left="566" w:hanging="283"/>
      <w:contextualSpacing/>
    </w:pPr>
  </w:style>
  <w:style w:type="paragraph" w:styleId="List3">
    <w:name w:val="List 3"/>
    <w:basedOn w:val="Normal"/>
    <w:uiPriority w:val="99"/>
    <w:semiHidden/>
    <w:unhideWhenUsed/>
    <w:rsid w:val="004C255D"/>
    <w:pPr>
      <w:ind w:left="849" w:hanging="283"/>
      <w:contextualSpacing/>
    </w:pPr>
  </w:style>
  <w:style w:type="paragraph" w:styleId="List4">
    <w:name w:val="List 4"/>
    <w:basedOn w:val="Normal"/>
    <w:uiPriority w:val="99"/>
    <w:semiHidden/>
    <w:unhideWhenUsed/>
    <w:rsid w:val="004C255D"/>
    <w:pPr>
      <w:ind w:left="1132" w:hanging="283"/>
      <w:contextualSpacing/>
    </w:pPr>
  </w:style>
  <w:style w:type="paragraph" w:styleId="List5">
    <w:name w:val="List 5"/>
    <w:basedOn w:val="Normal"/>
    <w:uiPriority w:val="99"/>
    <w:semiHidden/>
    <w:unhideWhenUsed/>
    <w:rsid w:val="004C255D"/>
    <w:pPr>
      <w:ind w:left="1415" w:hanging="283"/>
      <w:contextualSpacing/>
    </w:pPr>
  </w:style>
  <w:style w:type="paragraph" w:styleId="ListBullet4">
    <w:name w:val="List Bullet 4"/>
    <w:basedOn w:val="Normal"/>
    <w:uiPriority w:val="99"/>
    <w:semiHidden/>
    <w:unhideWhenUsed/>
    <w:rsid w:val="004C255D"/>
    <w:pPr>
      <w:numPr>
        <w:numId w:val="3"/>
      </w:numPr>
      <w:contextualSpacing/>
    </w:pPr>
  </w:style>
  <w:style w:type="paragraph" w:styleId="ListBullet5">
    <w:name w:val="List Bullet 5"/>
    <w:basedOn w:val="Normal"/>
    <w:uiPriority w:val="99"/>
    <w:semiHidden/>
    <w:unhideWhenUsed/>
    <w:rsid w:val="004C255D"/>
    <w:pPr>
      <w:numPr>
        <w:numId w:val="4"/>
      </w:numPr>
      <w:contextualSpacing/>
    </w:pPr>
  </w:style>
  <w:style w:type="paragraph" w:styleId="ListContinue">
    <w:name w:val="List Continue"/>
    <w:basedOn w:val="Normal"/>
    <w:uiPriority w:val="99"/>
    <w:semiHidden/>
    <w:unhideWhenUsed/>
    <w:rsid w:val="004C255D"/>
    <w:pPr>
      <w:spacing w:after="120"/>
      <w:ind w:left="283"/>
      <w:contextualSpacing/>
    </w:pPr>
  </w:style>
  <w:style w:type="paragraph" w:styleId="ListContinue2">
    <w:name w:val="List Continue 2"/>
    <w:basedOn w:val="Normal"/>
    <w:uiPriority w:val="99"/>
    <w:semiHidden/>
    <w:unhideWhenUsed/>
    <w:rsid w:val="004C255D"/>
    <w:pPr>
      <w:spacing w:after="120"/>
      <w:ind w:left="566"/>
      <w:contextualSpacing/>
    </w:pPr>
  </w:style>
  <w:style w:type="paragraph" w:styleId="ListContinue3">
    <w:name w:val="List Continue 3"/>
    <w:basedOn w:val="Normal"/>
    <w:uiPriority w:val="99"/>
    <w:semiHidden/>
    <w:unhideWhenUsed/>
    <w:rsid w:val="004C255D"/>
    <w:pPr>
      <w:spacing w:after="120"/>
      <w:ind w:left="849"/>
      <w:contextualSpacing/>
    </w:pPr>
  </w:style>
  <w:style w:type="paragraph" w:styleId="ListContinue4">
    <w:name w:val="List Continue 4"/>
    <w:basedOn w:val="Normal"/>
    <w:uiPriority w:val="99"/>
    <w:semiHidden/>
    <w:unhideWhenUsed/>
    <w:rsid w:val="004C255D"/>
    <w:pPr>
      <w:spacing w:after="120"/>
      <w:ind w:left="1132"/>
      <w:contextualSpacing/>
    </w:pPr>
  </w:style>
  <w:style w:type="paragraph" w:styleId="ListContinue5">
    <w:name w:val="List Continue 5"/>
    <w:basedOn w:val="Normal"/>
    <w:uiPriority w:val="99"/>
    <w:semiHidden/>
    <w:unhideWhenUsed/>
    <w:rsid w:val="004C255D"/>
    <w:pPr>
      <w:spacing w:after="120"/>
      <w:ind w:left="1415"/>
      <w:contextualSpacing/>
    </w:pPr>
  </w:style>
  <w:style w:type="paragraph" w:styleId="ListNumber4">
    <w:name w:val="List Number 4"/>
    <w:basedOn w:val="Normal"/>
    <w:uiPriority w:val="99"/>
    <w:semiHidden/>
    <w:unhideWhenUsed/>
    <w:rsid w:val="004C255D"/>
    <w:pPr>
      <w:numPr>
        <w:numId w:val="5"/>
      </w:numPr>
      <w:contextualSpacing/>
    </w:pPr>
  </w:style>
  <w:style w:type="paragraph" w:styleId="ListNumber5">
    <w:name w:val="List Number 5"/>
    <w:basedOn w:val="Normal"/>
    <w:uiPriority w:val="99"/>
    <w:semiHidden/>
    <w:unhideWhenUsed/>
    <w:rsid w:val="004C255D"/>
    <w:pPr>
      <w:numPr>
        <w:numId w:val="6"/>
      </w:numPr>
      <w:contextualSpacing/>
    </w:pPr>
  </w:style>
  <w:style w:type="paragraph" w:styleId="ListParagraph">
    <w:name w:val="List Paragraph"/>
    <w:basedOn w:val="Normal"/>
    <w:uiPriority w:val="34"/>
    <w:unhideWhenUsed/>
    <w:rsid w:val="004C255D"/>
    <w:pPr>
      <w:ind w:left="720"/>
      <w:contextualSpacing/>
    </w:pPr>
  </w:style>
  <w:style w:type="paragraph" w:styleId="MacroText">
    <w:name w:val="macro"/>
    <w:link w:val="MacroTextChar"/>
    <w:uiPriority w:val="99"/>
    <w:semiHidden/>
    <w:unhideWhenUsed/>
    <w:rsid w:val="004C255D"/>
    <w:pPr>
      <w:tabs>
        <w:tab w:val="left" w:pos="480"/>
        <w:tab w:val="left" w:pos="960"/>
        <w:tab w:val="left" w:pos="1440"/>
        <w:tab w:val="left" w:pos="1920"/>
        <w:tab w:val="left" w:pos="2400"/>
        <w:tab w:val="left" w:pos="2880"/>
        <w:tab w:val="left" w:pos="3360"/>
        <w:tab w:val="left" w:pos="3840"/>
        <w:tab w:val="left" w:pos="4320"/>
      </w:tabs>
      <w:spacing w:line="240" w:lineRule="atLeast"/>
    </w:pPr>
    <w:rPr>
      <w:rFonts w:ascii="Consolas" w:hAnsi="Consolas"/>
      <w:sz w:val="20"/>
      <w:szCs w:val="20"/>
    </w:rPr>
  </w:style>
  <w:style w:type="character" w:customStyle="1" w:styleId="MacroTextChar">
    <w:name w:val="Macro Text Char"/>
    <w:basedOn w:val="DefaultParagraphFont"/>
    <w:link w:val="MacroText"/>
    <w:uiPriority w:val="99"/>
    <w:semiHidden/>
    <w:rsid w:val="00F66A91"/>
    <w:rPr>
      <w:rFonts w:ascii="Consolas" w:hAnsi="Consolas"/>
      <w:sz w:val="20"/>
      <w:szCs w:val="20"/>
    </w:rPr>
  </w:style>
  <w:style w:type="paragraph" w:styleId="MessageHeader">
    <w:name w:val="Message Header"/>
    <w:basedOn w:val="Normal"/>
    <w:link w:val="MessageHeaderChar"/>
    <w:uiPriority w:val="99"/>
    <w:semiHidden/>
    <w:unhideWhenUsed/>
    <w:rsid w:val="004C255D"/>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F66A91"/>
    <w:rPr>
      <w:rFonts w:asciiTheme="majorHAnsi" w:eastAsiaTheme="majorEastAsia" w:hAnsiTheme="majorHAnsi" w:cstheme="majorBidi"/>
      <w:kern w:val="18"/>
      <w:sz w:val="24"/>
      <w:szCs w:val="24"/>
      <w:shd w:val="pct20" w:color="auto" w:fill="auto"/>
    </w:rPr>
  </w:style>
  <w:style w:type="paragraph" w:styleId="NoSpacing">
    <w:name w:val="No Spacing"/>
    <w:uiPriority w:val="1"/>
    <w:semiHidden/>
    <w:unhideWhenUsed/>
    <w:rsid w:val="004C255D"/>
    <w:pPr>
      <w:tabs>
        <w:tab w:val="left" w:pos="284"/>
      </w:tabs>
    </w:pPr>
  </w:style>
  <w:style w:type="paragraph" w:styleId="NormalWeb">
    <w:name w:val="Normal (Web)"/>
    <w:basedOn w:val="Normal"/>
    <w:uiPriority w:val="99"/>
    <w:semiHidden/>
    <w:unhideWhenUsed/>
    <w:rsid w:val="004C255D"/>
    <w:rPr>
      <w:rFonts w:ascii="Times New Roman" w:hAnsi="Times New Roman" w:cs="Times New Roman"/>
      <w:sz w:val="24"/>
      <w:szCs w:val="24"/>
    </w:rPr>
  </w:style>
  <w:style w:type="paragraph" w:styleId="NormalIndent">
    <w:name w:val="Normal Indent"/>
    <w:basedOn w:val="Normal"/>
    <w:uiPriority w:val="99"/>
    <w:semiHidden/>
    <w:unhideWhenUsed/>
    <w:rsid w:val="004C255D"/>
    <w:pPr>
      <w:ind w:left="720"/>
    </w:pPr>
  </w:style>
  <w:style w:type="paragraph" w:styleId="NoteHeading">
    <w:name w:val="Note Heading"/>
    <w:basedOn w:val="Normal"/>
    <w:next w:val="Normal"/>
    <w:link w:val="NoteHeadingChar"/>
    <w:uiPriority w:val="99"/>
    <w:semiHidden/>
    <w:unhideWhenUsed/>
    <w:rsid w:val="004C255D"/>
    <w:pPr>
      <w:spacing w:line="240" w:lineRule="auto"/>
    </w:pPr>
  </w:style>
  <w:style w:type="character" w:customStyle="1" w:styleId="NoteHeadingChar">
    <w:name w:val="Note Heading Char"/>
    <w:basedOn w:val="DefaultParagraphFont"/>
    <w:link w:val="NoteHeading"/>
    <w:uiPriority w:val="99"/>
    <w:semiHidden/>
    <w:rsid w:val="00F66A91"/>
    <w:rPr>
      <w:kern w:val="18"/>
    </w:rPr>
  </w:style>
  <w:style w:type="character" w:styleId="PageNumber">
    <w:name w:val="page number"/>
    <w:basedOn w:val="DefaultParagraphFont"/>
    <w:uiPriority w:val="99"/>
    <w:semiHidden/>
    <w:unhideWhenUsed/>
    <w:rsid w:val="004C255D"/>
  </w:style>
  <w:style w:type="character" w:styleId="PlaceholderText">
    <w:name w:val="Placeholder Text"/>
    <w:basedOn w:val="DefaultParagraphFont"/>
    <w:uiPriority w:val="99"/>
    <w:semiHidden/>
    <w:unhideWhenUsed/>
    <w:rsid w:val="004C255D"/>
    <w:rPr>
      <w:color w:val="808080"/>
    </w:rPr>
  </w:style>
  <w:style w:type="paragraph" w:styleId="PlainText">
    <w:name w:val="Plain Text"/>
    <w:basedOn w:val="Normal"/>
    <w:link w:val="PlainTextChar"/>
    <w:uiPriority w:val="99"/>
    <w:semiHidden/>
    <w:unhideWhenUsed/>
    <w:rsid w:val="004C255D"/>
    <w:pPr>
      <w:spacing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F66A91"/>
    <w:rPr>
      <w:rFonts w:ascii="Consolas" w:hAnsi="Consolas"/>
      <w:kern w:val="18"/>
      <w:sz w:val="21"/>
      <w:szCs w:val="21"/>
    </w:rPr>
  </w:style>
  <w:style w:type="paragraph" w:styleId="Salutation">
    <w:name w:val="Salutation"/>
    <w:basedOn w:val="Normal"/>
    <w:next w:val="Normal"/>
    <w:link w:val="SalutationChar"/>
    <w:uiPriority w:val="99"/>
    <w:semiHidden/>
    <w:unhideWhenUsed/>
    <w:rsid w:val="004C255D"/>
  </w:style>
  <w:style w:type="character" w:customStyle="1" w:styleId="SalutationChar">
    <w:name w:val="Salutation Char"/>
    <w:basedOn w:val="DefaultParagraphFont"/>
    <w:link w:val="Salutation"/>
    <w:uiPriority w:val="99"/>
    <w:semiHidden/>
    <w:rsid w:val="00F66A91"/>
    <w:rPr>
      <w:kern w:val="18"/>
    </w:rPr>
  </w:style>
  <w:style w:type="paragraph" w:styleId="Signature">
    <w:name w:val="Signature"/>
    <w:basedOn w:val="Normal"/>
    <w:link w:val="SignatureChar"/>
    <w:uiPriority w:val="99"/>
    <w:semiHidden/>
    <w:unhideWhenUsed/>
    <w:rsid w:val="004C255D"/>
    <w:pPr>
      <w:spacing w:line="240" w:lineRule="auto"/>
      <w:ind w:left="4252"/>
    </w:pPr>
  </w:style>
  <w:style w:type="character" w:customStyle="1" w:styleId="SignatureChar">
    <w:name w:val="Signature Char"/>
    <w:basedOn w:val="DefaultParagraphFont"/>
    <w:link w:val="Signature"/>
    <w:uiPriority w:val="99"/>
    <w:semiHidden/>
    <w:rsid w:val="00F66A91"/>
    <w:rPr>
      <w:kern w:val="18"/>
    </w:rPr>
  </w:style>
  <w:style w:type="character" w:styleId="SubtleEmphasis">
    <w:name w:val="Subtle Emphasis"/>
    <w:basedOn w:val="DefaultParagraphFont"/>
    <w:uiPriority w:val="19"/>
    <w:semiHidden/>
    <w:unhideWhenUsed/>
    <w:rsid w:val="004C255D"/>
    <w:rPr>
      <w:i/>
      <w:iCs/>
      <w:color w:val="808080" w:themeColor="text1" w:themeTint="7F"/>
    </w:rPr>
  </w:style>
  <w:style w:type="character" w:styleId="SubtleReference">
    <w:name w:val="Subtle Reference"/>
    <w:basedOn w:val="DefaultParagraphFont"/>
    <w:uiPriority w:val="31"/>
    <w:semiHidden/>
    <w:unhideWhenUsed/>
    <w:rsid w:val="004C255D"/>
    <w:rPr>
      <w:smallCaps/>
      <w:color w:val="84BD00" w:themeColor="accent2"/>
      <w:u w:val="single"/>
    </w:rPr>
  </w:style>
  <w:style w:type="paragraph" w:styleId="TableofAuthorities">
    <w:name w:val="table of authorities"/>
    <w:basedOn w:val="Normal"/>
    <w:next w:val="Normal"/>
    <w:uiPriority w:val="99"/>
    <w:semiHidden/>
    <w:unhideWhenUsed/>
    <w:rsid w:val="004C255D"/>
    <w:pPr>
      <w:tabs>
        <w:tab w:val="clear" w:pos="284"/>
      </w:tabs>
      <w:ind w:left="180" w:hanging="180"/>
    </w:pPr>
  </w:style>
  <w:style w:type="paragraph" w:styleId="TOAHeading">
    <w:name w:val="toa heading"/>
    <w:basedOn w:val="Normal"/>
    <w:next w:val="Normal"/>
    <w:uiPriority w:val="99"/>
    <w:semiHidden/>
    <w:unhideWhenUsed/>
    <w:rsid w:val="004C255D"/>
    <w:pPr>
      <w:spacing w:before="120"/>
    </w:pPr>
    <w:rPr>
      <w:rFonts w:asciiTheme="majorHAnsi" w:eastAsiaTheme="majorEastAsia" w:hAnsiTheme="majorHAnsi" w:cstheme="majorBidi"/>
      <w:b/>
      <w:bCs/>
      <w:sz w:val="24"/>
      <w:szCs w:val="24"/>
    </w:rPr>
  </w:style>
  <w:style w:type="paragraph" w:styleId="TOC4">
    <w:name w:val="toc 4"/>
    <w:basedOn w:val="Normal"/>
    <w:next w:val="Normal"/>
    <w:autoRedefine/>
    <w:uiPriority w:val="39"/>
    <w:unhideWhenUsed/>
    <w:rsid w:val="003964F2"/>
    <w:pPr>
      <w:tabs>
        <w:tab w:val="clear" w:pos="284"/>
      </w:tabs>
      <w:ind w:left="540"/>
    </w:pPr>
    <w:rPr>
      <w:rFonts w:cstheme="minorHAnsi"/>
      <w:sz w:val="20"/>
      <w:szCs w:val="20"/>
    </w:rPr>
  </w:style>
  <w:style w:type="paragraph" w:styleId="TOC5">
    <w:name w:val="toc 5"/>
    <w:basedOn w:val="Normal"/>
    <w:next w:val="Normal"/>
    <w:autoRedefine/>
    <w:uiPriority w:val="39"/>
    <w:unhideWhenUsed/>
    <w:rsid w:val="004C255D"/>
    <w:pPr>
      <w:tabs>
        <w:tab w:val="clear" w:pos="284"/>
      </w:tabs>
      <w:ind w:left="720"/>
    </w:pPr>
    <w:rPr>
      <w:rFonts w:cstheme="minorHAnsi"/>
      <w:sz w:val="20"/>
      <w:szCs w:val="20"/>
    </w:rPr>
  </w:style>
  <w:style w:type="paragraph" w:styleId="TOC6">
    <w:name w:val="toc 6"/>
    <w:basedOn w:val="Normal"/>
    <w:next w:val="Normal"/>
    <w:autoRedefine/>
    <w:uiPriority w:val="39"/>
    <w:unhideWhenUsed/>
    <w:rsid w:val="004C255D"/>
    <w:pPr>
      <w:tabs>
        <w:tab w:val="clear" w:pos="284"/>
      </w:tabs>
      <w:ind w:left="900"/>
    </w:pPr>
    <w:rPr>
      <w:rFonts w:cstheme="minorHAnsi"/>
      <w:sz w:val="20"/>
      <w:szCs w:val="20"/>
    </w:rPr>
  </w:style>
  <w:style w:type="paragraph" w:styleId="TOC7">
    <w:name w:val="toc 7"/>
    <w:basedOn w:val="Normal"/>
    <w:next w:val="Normal"/>
    <w:autoRedefine/>
    <w:uiPriority w:val="39"/>
    <w:unhideWhenUsed/>
    <w:rsid w:val="004C255D"/>
    <w:pPr>
      <w:tabs>
        <w:tab w:val="clear" w:pos="284"/>
      </w:tabs>
      <w:ind w:left="1080"/>
    </w:pPr>
    <w:rPr>
      <w:rFonts w:cstheme="minorHAnsi"/>
      <w:sz w:val="20"/>
      <w:szCs w:val="20"/>
    </w:rPr>
  </w:style>
  <w:style w:type="paragraph" w:styleId="TOC8">
    <w:name w:val="toc 8"/>
    <w:basedOn w:val="Normal"/>
    <w:next w:val="Normal"/>
    <w:autoRedefine/>
    <w:uiPriority w:val="39"/>
    <w:unhideWhenUsed/>
    <w:rsid w:val="004C255D"/>
    <w:pPr>
      <w:tabs>
        <w:tab w:val="clear" w:pos="284"/>
      </w:tabs>
      <w:ind w:left="1260"/>
    </w:pPr>
    <w:rPr>
      <w:rFonts w:cstheme="minorHAnsi"/>
      <w:sz w:val="20"/>
      <w:szCs w:val="20"/>
    </w:rPr>
  </w:style>
  <w:style w:type="paragraph" w:styleId="TOC9">
    <w:name w:val="toc 9"/>
    <w:basedOn w:val="Normal"/>
    <w:next w:val="Normal"/>
    <w:autoRedefine/>
    <w:uiPriority w:val="39"/>
    <w:unhideWhenUsed/>
    <w:rsid w:val="004C255D"/>
    <w:pPr>
      <w:tabs>
        <w:tab w:val="clear" w:pos="284"/>
      </w:tabs>
      <w:ind w:left="1440"/>
    </w:pPr>
    <w:rPr>
      <w:rFonts w:cstheme="minorHAnsi"/>
      <w:sz w:val="20"/>
      <w:szCs w:val="20"/>
    </w:rPr>
  </w:style>
  <w:style w:type="paragraph" w:customStyle="1" w:styleId="CVHeading">
    <w:name w:val="CV Heading"/>
    <w:basedOn w:val="BodyText"/>
    <w:uiPriority w:val="24"/>
    <w:qFormat/>
    <w:rsid w:val="004C255D"/>
    <w:rPr>
      <w:rFonts w:asciiTheme="majorHAnsi" w:hAnsiTheme="majorHAnsi"/>
      <w:b/>
      <w:sz w:val="24"/>
    </w:rPr>
  </w:style>
  <w:style w:type="paragraph" w:customStyle="1" w:styleId="CVIntroduction">
    <w:name w:val="CV Introduction"/>
    <w:basedOn w:val="BodyText"/>
    <w:uiPriority w:val="23"/>
    <w:qFormat/>
    <w:rsid w:val="004C255D"/>
    <w:pPr>
      <w:pBdr>
        <w:top w:val="single" w:sz="4" w:space="6" w:color="auto"/>
        <w:bottom w:val="single" w:sz="4" w:space="6" w:color="auto"/>
      </w:pBdr>
    </w:pPr>
    <w:rPr>
      <w:sz w:val="28"/>
    </w:rPr>
  </w:style>
  <w:style w:type="paragraph" w:customStyle="1" w:styleId="CVTitle">
    <w:name w:val="CV Title"/>
    <w:basedOn w:val="Normal"/>
    <w:uiPriority w:val="1"/>
    <w:semiHidden/>
    <w:unhideWhenUsed/>
    <w:rsid w:val="004C255D"/>
    <w:pPr>
      <w:tabs>
        <w:tab w:val="clear" w:pos="284"/>
      </w:tabs>
    </w:pPr>
    <w:rPr>
      <w:rFonts w:asciiTheme="majorHAnsi" w:hAnsiTheme="majorHAnsi"/>
      <w:color w:val="000000" w:themeColor="text1"/>
      <w:sz w:val="32"/>
    </w:rPr>
  </w:style>
  <w:style w:type="table" w:customStyle="1" w:styleId="Tablenoborders">
    <w:name w:val="Table no borders"/>
    <w:basedOn w:val="TableNormal"/>
    <w:uiPriority w:val="99"/>
    <w:semiHidden/>
    <w:unhideWhenUsed/>
    <w:rsid w:val="00C314D3"/>
    <w:tblPr>
      <w:tblCellMar>
        <w:left w:w="0" w:type="dxa"/>
        <w:right w:w="0" w:type="dxa"/>
      </w:tblCellMar>
    </w:tblPr>
  </w:style>
  <w:style w:type="numbering" w:customStyle="1" w:styleId="AECOMTableBullets">
    <w:name w:val="AECOM Table Bullets"/>
    <w:uiPriority w:val="99"/>
    <w:semiHidden/>
    <w:unhideWhenUsed/>
    <w:rsid w:val="002740A7"/>
    <w:pPr>
      <w:numPr>
        <w:numId w:val="16"/>
      </w:numPr>
    </w:pPr>
  </w:style>
  <w:style w:type="numbering" w:customStyle="1" w:styleId="AECOMTableNumbering">
    <w:name w:val="AECOM Table Numbering"/>
    <w:uiPriority w:val="99"/>
    <w:semiHidden/>
    <w:unhideWhenUsed/>
    <w:rsid w:val="002740A7"/>
    <w:pPr>
      <w:numPr>
        <w:numId w:val="17"/>
      </w:numPr>
    </w:pPr>
  </w:style>
  <w:style w:type="paragraph" w:customStyle="1" w:styleId="TableListBullet">
    <w:name w:val="Table List Bullet"/>
    <w:basedOn w:val="Normal"/>
    <w:uiPriority w:val="16"/>
    <w:qFormat/>
    <w:rsid w:val="002740A7"/>
    <w:pPr>
      <w:numPr>
        <w:numId w:val="19"/>
      </w:numPr>
      <w:tabs>
        <w:tab w:val="clear" w:pos="284"/>
      </w:tabs>
      <w:spacing w:after="40" w:line="240" w:lineRule="auto"/>
    </w:pPr>
    <w:rPr>
      <w:sz w:val="16"/>
    </w:rPr>
  </w:style>
  <w:style w:type="paragraph" w:customStyle="1" w:styleId="TableListBullet2">
    <w:name w:val="Table List Bullet 2"/>
    <w:basedOn w:val="Normal"/>
    <w:uiPriority w:val="17"/>
    <w:qFormat/>
    <w:rsid w:val="002740A7"/>
    <w:pPr>
      <w:numPr>
        <w:ilvl w:val="1"/>
        <w:numId w:val="19"/>
      </w:numPr>
      <w:tabs>
        <w:tab w:val="clear" w:pos="284"/>
      </w:tabs>
      <w:spacing w:after="40" w:line="240" w:lineRule="auto"/>
    </w:pPr>
    <w:rPr>
      <w:sz w:val="16"/>
    </w:rPr>
  </w:style>
  <w:style w:type="paragraph" w:customStyle="1" w:styleId="TableListBullet3">
    <w:name w:val="Table List Bullet 3"/>
    <w:basedOn w:val="Normal"/>
    <w:uiPriority w:val="18"/>
    <w:qFormat/>
    <w:rsid w:val="002740A7"/>
    <w:pPr>
      <w:numPr>
        <w:ilvl w:val="2"/>
        <w:numId w:val="19"/>
      </w:numPr>
      <w:tabs>
        <w:tab w:val="clear" w:pos="284"/>
      </w:tabs>
      <w:spacing w:after="40" w:line="240" w:lineRule="auto"/>
    </w:pPr>
    <w:rPr>
      <w:sz w:val="16"/>
    </w:rPr>
  </w:style>
  <w:style w:type="paragraph" w:customStyle="1" w:styleId="TableListNumber">
    <w:name w:val="Table List Number"/>
    <w:basedOn w:val="BodyText"/>
    <w:uiPriority w:val="19"/>
    <w:qFormat/>
    <w:rsid w:val="002740A7"/>
    <w:pPr>
      <w:numPr>
        <w:numId w:val="18"/>
      </w:numPr>
      <w:spacing w:after="40" w:line="240" w:lineRule="auto"/>
    </w:pPr>
    <w:rPr>
      <w:sz w:val="16"/>
    </w:rPr>
  </w:style>
  <w:style w:type="paragraph" w:customStyle="1" w:styleId="TableListNumber2">
    <w:name w:val="Table List Number 2"/>
    <w:basedOn w:val="Normal"/>
    <w:uiPriority w:val="20"/>
    <w:qFormat/>
    <w:rsid w:val="002740A7"/>
    <w:pPr>
      <w:numPr>
        <w:ilvl w:val="1"/>
        <w:numId w:val="18"/>
      </w:numPr>
      <w:tabs>
        <w:tab w:val="clear" w:pos="284"/>
      </w:tabs>
      <w:spacing w:after="40" w:line="240" w:lineRule="auto"/>
    </w:pPr>
    <w:rPr>
      <w:sz w:val="16"/>
    </w:rPr>
  </w:style>
  <w:style w:type="paragraph" w:customStyle="1" w:styleId="TableListNumber3">
    <w:name w:val="Table List Number 3"/>
    <w:basedOn w:val="Normal"/>
    <w:uiPriority w:val="21"/>
    <w:qFormat/>
    <w:rsid w:val="002740A7"/>
    <w:pPr>
      <w:numPr>
        <w:ilvl w:val="2"/>
        <w:numId w:val="18"/>
      </w:numPr>
      <w:tabs>
        <w:tab w:val="clear" w:pos="284"/>
      </w:tabs>
      <w:spacing w:after="40" w:line="240" w:lineRule="auto"/>
    </w:pPr>
    <w:rPr>
      <w:sz w:val="16"/>
    </w:rPr>
  </w:style>
  <w:style w:type="paragraph" w:customStyle="1" w:styleId="Tabletext">
    <w:name w:val="Table text"/>
    <w:basedOn w:val="BodyText"/>
    <w:uiPriority w:val="15"/>
    <w:qFormat/>
    <w:rsid w:val="00AA045B"/>
    <w:pPr>
      <w:spacing w:before="40" w:after="40" w:line="240" w:lineRule="auto"/>
    </w:pPr>
    <w:rPr>
      <w:sz w:val="16"/>
    </w:rPr>
  </w:style>
  <w:style w:type="paragraph" w:customStyle="1" w:styleId="Callout">
    <w:name w:val="Callout"/>
    <w:basedOn w:val="BodyText"/>
    <w:uiPriority w:val="1"/>
    <w:semiHidden/>
    <w:unhideWhenUsed/>
    <w:rsid w:val="00F352C7"/>
    <w:pPr>
      <w:spacing w:after="60"/>
    </w:pPr>
  </w:style>
  <w:style w:type="paragraph" w:customStyle="1" w:styleId="SQL">
    <w:name w:val="SQL"/>
    <w:uiPriority w:val="1"/>
    <w:semiHidden/>
    <w:unhideWhenUsed/>
    <w:rsid w:val="004D4675"/>
    <w:pPr>
      <w:spacing w:after="120" w:line="240" w:lineRule="atLeast"/>
    </w:pPr>
    <w:rPr>
      <w:sz w:val="16"/>
      <w:lang w:val="en-CA"/>
    </w:rPr>
  </w:style>
  <w:style w:type="table" w:customStyle="1" w:styleId="AECOMcolouredtable">
    <w:name w:val="AECOM coloured table"/>
    <w:basedOn w:val="TableNormal"/>
    <w:uiPriority w:val="99"/>
    <w:semiHidden/>
    <w:unhideWhenUsed/>
    <w:rsid w:val="00890ADA"/>
    <w:tblPr>
      <w:tblStyleRowBandSize w:val="1"/>
    </w:tblPr>
    <w:tblStylePr w:type="firstRow">
      <w:rPr>
        <w:b/>
        <w:color w:val="FFFFFF" w:themeColor="background1"/>
      </w:rPr>
      <w:tblPr/>
      <w:tcPr>
        <w:tcBorders>
          <w:bottom w:val="single" w:sz="12" w:space="0" w:color="FFFFFF" w:themeColor="background1"/>
          <w:insideV w:val="single" w:sz="4" w:space="0" w:color="FFFFFF" w:themeColor="background1"/>
        </w:tcBorders>
        <w:shd w:val="clear" w:color="auto" w:fill="00B5E2" w:themeFill="accent1"/>
      </w:tcPr>
    </w:tblStylePr>
    <w:tblStylePr w:type="firstCol">
      <w:rPr>
        <w:b/>
        <w:color w:val="FFFFFF" w:themeColor="background1"/>
      </w:rPr>
      <w:tblPr/>
      <w:tcPr>
        <w:tcBorders>
          <w:right w:val="single" w:sz="12" w:space="0" w:color="FFFFFF" w:themeColor="background1"/>
        </w:tcBorders>
        <w:shd w:val="clear" w:color="auto" w:fill="00B5E2" w:themeFill="accent1"/>
      </w:tcPr>
    </w:tblStylePr>
    <w:tblStylePr w:type="band1Horz">
      <w:tblPr/>
      <w:tcPr>
        <w:shd w:val="clear" w:color="auto" w:fill="C6F3FF" w:themeFill="accent1" w:themeFillTint="33"/>
      </w:tcPr>
    </w:tblStylePr>
    <w:tblStylePr w:type="band2Horz">
      <w:tblPr/>
      <w:tcPr>
        <w:shd w:val="clear" w:color="auto" w:fill="8DE8FF" w:themeFill="accent1" w:themeFillTint="66"/>
      </w:tcPr>
    </w:tblStylePr>
  </w:style>
  <w:style w:type="paragraph" w:customStyle="1" w:styleId="Appendixheading2">
    <w:name w:val="Appendix heading 2"/>
    <w:basedOn w:val="Heading2"/>
    <w:uiPriority w:val="8"/>
    <w:qFormat/>
    <w:rsid w:val="003934D8"/>
    <w:pPr>
      <w:ind w:left="851" w:hanging="851"/>
    </w:pPr>
    <w:rPr>
      <w:rFonts w:cstheme="majorHAnsi"/>
      <w:szCs w:val="36"/>
    </w:rPr>
  </w:style>
  <w:style w:type="paragraph" w:customStyle="1" w:styleId="Numberedtext">
    <w:name w:val="Numbered text"/>
    <w:basedOn w:val="BodyText"/>
    <w:uiPriority w:val="2"/>
    <w:qFormat/>
    <w:rsid w:val="00B908E0"/>
    <w:pPr>
      <w:numPr>
        <w:ilvl w:val="1"/>
        <w:numId w:val="9"/>
      </w:numPr>
    </w:pPr>
    <w:rPr>
      <w:b/>
      <w:color w:val="00B5E2" w:themeColor="accent1"/>
      <w:sz w:val="24"/>
    </w:rPr>
  </w:style>
  <w:style w:type="table" w:customStyle="1" w:styleId="CompassTable">
    <w:name w:val="Compass Table"/>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1">
    <w:name w:val="Compass Table1"/>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customStyle="1" w:styleId="2Body-Text">
    <w:name w:val="2 Body-Text"/>
    <w:basedOn w:val="Normal"/>
    <w:link w:val="2Body-TextChar"/>
    <w:qFormat/>
    <w:rsid w:val="00161A02"/>
    <w:pPr>
      <w:tabs>
        <w:tab w:val="clear" w:pos="284"/>
      </w:tabs>
      <w:spacing w:before="120" w:after="120" w:line="240" w:lineRule="auto"/>
    </w:pPr>
    <w:rPr>
      <w:rFonts w:eastAsia="Times New Roman"/>
      <w:kern w:val="0"/>
      <w:sz w:val="22"/>
      <w:szCs w:val="26"/>
    </w:rPr>
  </w:style>
  <w:style w:type="character" w:customStyle="1" w:styleId="2Body-TextChar">
    <w:name w:val="2 Body-Text Char"/>
    <w:basedOn w:val="DefaultParagraphFont"/>
    <w:link w:val="2Body-Text"/>
    <w:rsid w:val="00161A02"/>
    <w:rPr>
      <w:rFonts w:eastAsia="Times New Roman"/>
      <w:sz w:val="22"/>
      <w:szCs w:val="26"/>
      <w:lang w:val="en-US"/>
    </w:rPr>
  </w:style>
  <w:style w:type="table" w:customStyle="1" w:styleId="CompassTable2">
    <w:name w:val="Compass Table2"/>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3">
    <w:name w:val="Compass Table3"/>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4">
    <w:name w:val="Compass Table4"/>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5">
    <w:name w:val="Compass Table5"/>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styleId="Revision">
    <w:name w:val="Revision"/>
    <w:hidden/>
    <w:uiPriority w:val="99"/>
    <w:semiHidden/>
    <w:rsid w:val="00E54194"/>
    <w:rPr>
      <w:kern w:val="18"/>
      <w:lang w:val="en-US"/>
    </w:rPr>
  </w:style>
  <w:style w:type="paragraph" w:customStyle="1" w:styleId="3TableText">
    <w:name w:val="3 Table Text"/>
    <w:basedOn w:val="Normal"/>
    <w:rsid w:val="005269D3"/>
    <w:pPr>
      <w:tabs>
        <w:tab w:val="clear" w:pos="284"/>
      </w:tabs>
      <w:spacing w:before="20" w:after="20" w:line="240" w:lineRule="auto"/>
    </w:pPr>
    <w:rPr>
      <w:rFonts w:eastAsia="Times New Roman"/>
      <w:kern w:val="0"/>
      <w:sz w:val="20"/>
      <w:szCs w:val="24"/>
    </w:rPr>
  </w:style>
  <w:style w:type="paragraph" w:customStyle="1" w:styleId="3TableHeading">
    <w:name w:val="3 Table Heading"/>
    <w:basedOn w:val="3TableText"/>
    <w:rsid w:val="005269D3"/>
    <w:pPr>
      <w:spacing w:before="60" w:after="60"/>
      <w:jc w:val="center"/>
    </w:pPr>
    <w:rPr>
      <w:b/>
      <w:color w:val="FFFFFF"/>
    </w:rPr>
  </w:style>
  <w:style w:type="table" w:customStyle="1" w:styleId="FEMATable">
    <w:name w:val="FEMA Table"/>
    <w:basedOn w:val="TableNormal"/>
    <w:uiPriority w:val="99"/>
    <w:rsid w:val="0023430C"/>
    <w:rPr>
      <w:sz w:val="20"/>
      <w:szCs w:val="22"/>
      <w:lang w:val="en-US"/>
    </w:rPr>
    <w:tblPr>
      <w:tblStyleRowBandSize w:val="1"/>
      <w:tblBorders>
        <w:top w:val="single" w:sz="4" w:space="0" w:color="3381BD"/>
        <w:left w:val="single" w:sz="4" w:space="0" w:color="3381BD"/>
        <w:bottom w:val="single" w:sz="4" w:space="0" w:color="3381BD"/>
        <w:right w:val="single" w:sz="4" w:space="0" w:color="3381BD"/>
        <w:insideH w:val="single" w:sz="4" w:space="0" w:color="3381BD"/>
        <w:insideV w:val="single" w:sz="4" w:space="0" w:color="3381BD"/>
      </w:tblBorders>
    </w:tblPr>
    <w:tcPr>
      <w:shd w:val="clear" w:color="auto" w:fill="auto"/>
    </w:tcPr>
    <w:tblStylePr w:type="firstRow">
      <w:pPr>
        <w:jc w:val="center"/>
      </w:pPr>
      <w:rPr>
        <w:rFonts w:ascii="Calibri" w:hAnsi="Calibri"/>
        <w:b/>
        <w:sz w:val="20"/>
      </w:rPr>
      <w:tblPr/>
      <w:tcPr>
        <w:shd w:val="clear" w:color="auto" w:fill="233972"/>
        <w:vAlign w:val="bottom"/>
      </w:tcPr>
    </w:tblStylePr>
    <w:tblStylePr w:type="band1Horz">
      <w:tblPr/>
      <w:tcPr>
        <w:shd w:val="clear" w:color="auto" w:fill="E9F2F9"/>
      </w:tcPr>
    </w:tblStylePr>
  </w:style>
  <w:style w:type="paragraph" w:customStyle="1" w:styleId="3TextBoxBullets">
    <w:name w:val="3 TextBox Bullets"/>
    <w:basedOn w:val="Normal"/>
    <w:rsid w:val="006B4EA6"/>
    <w:pPr>
      <w:numPr>
        <w:numId w:val="29"/>
      </w:numPr>
      <w:tabs>
        <w:tab w:val="clear" w:pos="284"/>
        <w:tab w:val="left" w:pos="216"/>
      </w:tabs>
      <w:spacing w:after="100" w:line="240" w:lineRule="auto"/>
      <w:ind w:left="216" w:hanging="216"/>
      <w:contextualSpacing/>
    </w:pPr>
    <w:rPr>
      <w:rFonts w:eastAsia="Times New Roman"/>
      <w:kern w:val="0"/>
      <w:sz w:val="20"/>
      <w:szCs w:val="24"/>
    </w:rPr>
  </w:style>
  <w:style w:type="character" w:customStyle="1" w:styleId="UnresolvedMention1">
    <w:name w:val="Unresolved Mention1"/>
    <w:basedOn w:val="DefaultParagraphFont"/>
    <w:uiPriority w:val="99"/>
    <w:semiHidden/>
    <w:unhideWhenUsed/>
    <w:rsid w:val="000E392F"/>
    <w:rPr>
      <w:color w:val="605E5C"/>
      <w:shd w:val="clear" w:color="auto" w:fill="E1DFDD"/>
    </w:rPr>
  </w:style>
  <w:style w:type="paragraph" w:customStyle="1" w:styleId="2SubheadingLevel2">
    <w:name w:val="2 Subheading Level 2"/>
    <w:basedOn w:val="Normal"/>
    <w:next w:val="2Body-Text"/>
    <w:qFormat/>
    <w:rsid w:val="00901BD9"/>
    <w:pPr>
      <w:tabs>
        <w:tab w:val="clear" w:pos="284"/>
      </w:tabs>
      <w:spacing w:before="200" w:after="200" w:line="240" w:lineRule="auto"/>
    </w:pPr>
    <w:rPr>
      <w:rFonts w:asciiTheme="majorHAnsi" w:eastAsia="Times New Roman" w:hAnsiTheme="majorHAnsi" w:cs="Times New Roman"/>
      <w:b/>
      <w:caps/>
      <w:color w:val="F68B1F" w:themeColor="accent3"/>
      <w:kern w:val="0"/>
      <w:sz w:val="22"/>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18"/>
        <w:szCs w:val="18"/>
        <w:lang w:val="en-GB" w:eastAsia="en-US" w:bidi="ar-SA"/>
      </w:rPr>
    </w:rPrDefault>
    <w:pPrDefault/>
  </w:docDefaults>
  <w:latentStyles w:defLockedState="0" w:defUIPriority="99" w:defSemiHidden="1" w:defUnhideWhenUsed="1" w:defQFormat="0" w:count="267">
    <w:lsdException w:name="Normal" w:semiHidden="0" w:uiPriority="1" w:unhideWhenUsed="0" w:qFormat="1"/>
    <w:lsdException w:name="heading 1" w:semiHidden="0" w:uiPriority="0" w:unhideWhenUsed="0" w:qFormat="1"/>
    <w:lsdException w:name="heading 2" w:uiPriority="0" w:unhideWhenUsed="0" w:qFormat="1"/>
    <w:lsdException w:name="heading 3" w:uiPriority="5" w:unhideWhenUsed="0" w:qFormat="1"/>
    <w:lsdException w:name="heading 4" w:uiPriority="6" w:unhideWhenUsed="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unhideWhenUsed="0" w:qFormat="1"/>
    <w:lsdException w:name="List Bullet" w:uiPriority="9" w:unhideWhenUsed="0" w:qFormat="1"/>
    <w:lsdException w:name="List Number" w:uiPriority="11" w:unhideWhenUsed="0" w:qFormat="1"/>
    <w:lsdException w:name="List Bullet 2" w:uiPriority="10" w:unhideWhenUsed="0" w:qFormat="1"/>
    <w:lsdException w:name="List Bullet 3" w:uiPriority="11" w:unhideWhenUsed="0" w:qFormat="1"/>
    <w:lsdException w:name="List Number 2" w:uiPriority="12" w:unhideWhenUsed="0" w:qFormat="1"/>
    <w:lsdException w:name="List Number 3" w:uiPriority="13" w:unhideWhenUsed="0" w:qFormat="1"/>
    <w:lsdException w:name="Title" w:semiHidden="0" w:uiPriority="10" w:unhideWhenUsed="0"/>
    <w:lsdException w:name="Default Paragraph Font" w:uiPriority="1"/>
    <w:lsdException w:name="Body Text" w:semiHidden="0" w:uiPriority="0" w:unhideWhenUsed="0" w:qFormat="1"/>
    <w:lsdException w:name="Subtitle" w:semiHidden="0" w:uiPriority="11" w:unhideWhenUsed="0"/>
    <w:lsdException w:name="Hyperlink" w:uiPriority="27" w:unhideWhenUsed="0" w:qFormat="1"/>
    <w:lsdException w:name="FollowedHyperlink" w:uiPriority="28" w:unhideWhenUsed="0" w:qFormat="1"/>
    <w:lsdException w:name="Strong" w:semiHidden="0" w:uiPriority="22" w:unhideWhenUsed="0"/>
    <w:lsdException w:name="Emphasis" w:semiHidden="0" w:uiPriority="20" w:unhideWhenUsed="0"/>
    <w:lsdException w:name="Table Grid" w:uiPriority="0"/>
    <w:lsdException w:name="No Spacing" w:uiPriority="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2"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lsdException w:name="Book Title" w:semiHidden="0" w:uiPriority="33"/>
    <w:lsdException w:name="Bibliography" w:uiPriority="37"/>
    <w:lsdException w:name="TOC Heading" w:uiPriority="39"/>
  </w:latentStyles>
  <w:style w:type="paragraph" w:default="1" w:styleId="Normal">
    <w:name w:val="Normal"/>
    <w:uiPriority w:val="1"/>
    <w:qFormat/>
    <w:rsid w:val="00A12F95"/>
    <w:pPr>
      <w:tabs>
        <w:tab w:val="left" w:pos="284"/>
      </w:tabs>
      <w:spacing w:line="240" w:lineRule="atLeast"/>
    </w:pPr>
    <w:rPr>
      <w:kern w:val="18"/>
      <w:lang w:val="en-US"/>
    </w:rPr>
  </w:style>
  <w:style w:type="paragraph" w:styleId="Heading1">
    <w:name w:val="heading 1"/>
    <w:basedOn w:val="Normal"/>
    <w:next w:val="BodyText"/>
    <w:link w:val="Heading1Char"/>
    <w:autoRedefine/>
    <w:qFormat/>
    <w:rsid w:val="00CA2219"/>
    <w:pPr>
      <w:keepNext/>
      <w:keepLines/>
      <w:tabs>
        <w:tab w:val="clear" w:pos="284"/>
      </w:tabs>
      <w:spacing w:before="360" w:after="120" w:line="240" w:lineRule="auto"/>
      <w:ind w:left="567" w:hanging="567"/>
      <w:outlineLvl w:val="0"/>
    </w:pPr>
    <w:rPr>
      <w:rFonts w:asciiTheme="majorHAnsi" w:eastAsiaTheme="majorEastAsia" w:hAnsiTheme="majorHAnsi" w:cstheme="majorBidi"/>
      <w:b/>
      <w:bCs/>
      <w:color w:val="00B5E2" w:themeColor="accent1"/>
      <w:sz w:val="32"/>
      <w:szCs w:val="28"/>
    </w:rPr>
  </w:style>
  <w:style w:type="paragraph" w:styleId="Heading2">
    <w:name w:val="heading 2"/>
    <w:basedOn w:val="Numberedtext"/>
    <w:next w:val="Numberedtext"/>
    <w:link w:val="Heading2Char"/>
    <w:qFormat/>
    <w:rsid w:val="00265A9E"/>
    <w:pPr>
      <w:outlineLvl w:val="1"/>
    </w:pPr>
  </w:style>
  <w:style w:type="paragraph" w:styleId="Heading3">
    <w:name w:val="heading 3"/>
    <w:basedOn w:val="Numberedtext"/>
    <w:next w:val="BodyText"/>
    <w:link w:val="Heading3Char"/>
    <w:uiPriority w:val="5"/>
    <w:qFormat/>
    <w:rsid w:val="00265A9E"/>
    <w:pPr>
      <w:numPr>
        <w:ilvl w:val="2"/>
      </w:numPr>
      <w:outlineLvl w:val="2"/>
    </w:pPr>
  </w:style>
  <w:style w:type="paragraph" w:styleId="Heading4">
    <w:name w:val="heading 4"/>
    <w:basedOn w:val="Heading3"/>
    <w:next w:val="BodyText"/>
    <w:link w:val="Heading4Char"/>
    <w:uiPriority w:val="6"/>
    <w:qFormat/>
    <w:rsid w:val="00E413BF"/>
    <w:pPr>
      <w:numPr>
        <w:ilvl w:val="3"/>
      </w:numPr>
      <w:outlineLvl w:val="3"/>
    </w:pPr>
  </w:style>
  <w:style w:type="paragraph" w:styleId="Heading5">
    <w:name w:val="heading 5"/>
    <w:basedOn w:val="Normal"/>
    <w:next w:val="BodyText"/>
    <w:link w:val="Heading5Char"/>
    <w:unhideWhenUsed/>
    <w:qFormat/>
    <w:rsid w:val="002770A0"/>
    <w:pPr>
      <w:keepNext/>
      <w:keepLines/>
      <w:spacing w:before="120"/>
      <w:outlineLvl w:val="4"/>
    </w:pPr>
    <w:rPr>
      <w:rFonts w:asciiTheme="majorHAnsi" w:eastAsiaTheme="majorEastAsia" w:hAnsiTheme="majorHAnsi" w:cstheme="majorBidi"/>
      <w:b/>
      <w:color w:val="00B5E2" w:themeColor="accent1"/>
    </w:rPr>
  </w:style>
  <w:style w:type="paragraph" w:styleId="Heading6">
    <w:name w:val="heading 6"/>
    <w:basedOn w:val="Normal"/>
    <w:next w:val="Normal"/>
    <w:link w:val="Heading6Char"/>
    <w:semiHidden/>
    <w:unhideWhenUsed/>
    <w:qFormat/>
    <w:rsid w:val="00582989"/>
    <w:pPr>
      <w:keepNext/>
      <w:keepLines/>
      <w:spacing w:before="200"/>
      <w:outlineLvl w:val="5"/>
    </w:pPr>
    <w:rPr>
      <w:rFonts w:asciiTheme="majorHAnsi" w:eastAsiaTheme="majorEastAsia" w:hAnsiTheme="majorHAnsi" w:cstheme="majorBidi"/>
      <w:i/>
      <w:iCs/>
      <w:color w:val="005970" w:themeColor="accent1" w:themeShade="7F"/>
    </w:rPr>
  </w:style>
  <w:style w:type="paragraph" w:styleId="Heading7">
    <w:name w:val="heading 7"/>
    <w:basedOn w:val="Normal"/>
    <w:next w:val="Normal"/>
    <w:link w:val="Heading7Char"/>
    <w:semiHidden/>
    <w:unhideWhenUsed/>
    <w:qFormat/>
    <w:rsid w:val="00582989"/>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semiHidden/>
    <w:unhideWhenUsed/>
    <w:qFormat/>
    <w:rsid w:val="00582989"/>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nhideWhenUsed/>
    <w:qFormat/>
    <w:rsid w:val="00582989"/>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3"/>
    <w:rsid w:val="00CA2219"/>
    <w:rPr>
      <w:rFonts w:asciiTheme="majorHAnsi" w:eastAsiaTheme="majorEastAsia" w:hAnsiTheme="majorHAnsi" w:cstheme="majorBidi"/>
      <w:b/>
      <w:bCs/>
      <w:color w:val="00B5E2" w:themeColor="accent1"/>
      <w:kern w:val="18"/>
      <w:sz w:val="32"/>
      <w:szCs w:val="28"/>
      <w:lang w:val="en-US"/>
    </w:rPr>
  </w:style>
  <w:style w:type="character" w:customStyle="1" w:styleId="Heading2Char">
    <w:name w:val="Heading 2 Char"/>
    <w:basedOn w:val="DefaultParagraphFont"/>
    <w:link w:val="Heading2"/>
    <w:uiPriority w:val="4"/>
    <w:rsid w:val="00265A9E"/>
    <w:rPr>
      <w:b/>
      <w:color w:val="00B5E2" w:themeColor="accent1"/>
      <w:kern w:val="18"/>
      <w:sz w:val="24"/>
      <w:lang w:val="en-US"/>
    </w:rPr>
  </w:style>
  <w:style w:type="character" w:customStyle="1" w:styleId="Heading3Char">
    <w:name w:val="Heading 3 Char"/>
    <w:basedOn w:val="DefaultParagraphFont"/>
    <w:link w:val="Heading3"/>
    <w:uiPriority w:val="5"/>
    <w:rsid w:val="00265A9E"/>
    <w:rPr>
      <w:b/>
      <w:color w:val="00B5E2" w:themeColor="accent1"/>
      <w:kern w:val="18"/>
      <w:sz w:val="24"/>
      <w:lang w:val="en-US"/>
    </w:rPr>
  </w:style>
  <w:style w:type="paragraph" w:styleId="ListNumber">
    <w:name w:val="List Number"/>
    <w:basedOn w:val="Normal"/>
    <w:uiPriority w:val="11"/>
    <w:qFormat/>
    <w:rsid w:val="00790710"/>
    <w:pPr>
      <w:numPr>
        <w:numId w:val="15"/>
      </w:numPr>
      <w:tabs>
        <w:tab w:val="clear" w:pos="284"/>
      </w:tabs>
      <w:spacing w:after="120"/>
    </w:pPr>
  </w:style>
  <w:style w:type="paragraph" w:styleId="ListNumber2">
    <w:name w:val="List Number 2"/>
    <w:basedOn w:val="Normal"/>
    <w:uiPriority w:val="12"/>
    <w:qFormat/>
    <w:rsid w:val="00790710"/>
    <w:pPr>
      <w:numPr>
        <w:ilvl w:val="1"/>
        <w:numId w:val="15"/>
      </w:numPr>
      <w:tabs>
        <w:tab w:val="clear" w:pos="284"/>
      </w:tabs>
      <w:spacing w:after="120"/>
    </w:pPr>
  </w:style>
  <w:style w:type="paragraph" w:styleId="ListNumber3">
    <w:name w:val="List Number 3"/>
    <w:basedOn w:val="Normal"/>
    <w:uiPriority w:val="13"/>
    <w:qFormat/>
    <w:rsid w:val="00790710"/>
    <w:pPr>
      <w:numPr>
        <w:ilvl w:val="2"/>
        <w:numId w:val="15"/>
      </w:numPr>
      <w:tabs>
        <w:tab w:val="clear" w:pos="284"/>
      </w:tabs>
      <w:spacing w:after="120"/>
    </w:pPr>
  </w:style>
  <w:style w:type="paragraph" w:styleId="ListBullet">
    <w:name w:val="List Bullet"/>
    <w:basedOn w:val="Normal"/>
    <w:uiPriority w:val="9"/>
    <w:qFormat/>
    <w:rsid w:val="00790710"/>
    <w:pPr>
      <w:numPr>
        <w:numId w:val="14"/>
      </w:numPr>
      <w:tabs>
        <w:tab w:val="clear" w:pos="284"/>
      </w:tabs>
      <w:spacing w:after="120"/>
    </w:pPr>
  </w:style>
  <w:style w:type="paragraph" w:styleId="ListBullet2">
    <w:name w:val="List Bullet 2"/>
    <w:basedOn w:val="Normal"/>
    <w:uiPriority w:val="10"/>
    <w:qFormat/>
    <w:rsid w:val="00790710"/>
    <w:pPr>
      <w:numPr>
        <w:ilvl w:val="1"/>
        <w:numId w:val="14"/>
      </w:numPr>
      <w:tabs>
        <w:tab w:val="clear" w:pos="284"/>
      </w:tabs>
      <w:spacing w:after="120"/>
    </w:pPr>
  </w:style>
  <w:style w:type="paragraph" w:styleId="ListBullet3">
    <w:name w:val="List Bullet 3"/>
    <w:basedOn w:val="Normal"/>
    <w:uiPriority w:val="11"/>
    <w:qFormat/>
    <w:rsid w:val="00790710"/>
    <w:pPr>
      <w:numPr>
        <w:ilvl w:val="2"/>
        <w:numId w:val="14"/>
      </w:numPr>
      <w:tabs>
        <w:tab w:val="clear" w:pos="284"/>
      </w:tabs>
      <w:spacing w:after="120"/>
    </w:pPr>
  </w:style>
  <w:style w:type="character" w:customStyle="1" w:styleId="Heading4Char">
    <w:name w:val="Heading 4 Char"/>
    <w:basedOn w:val="DefaultParagraphFont"/>
    <w:link w:val="Heading4"/>
    <w:uiPriority w:val="6"/>
    <w:rsid w:val="00E413BF"/>
    <w:rPr>
      <w:b/>
      <w:color w:val="00B5E2" w:themeColor="accent1"/>
      <w:kern w:val="18"/>
      <w:sz w:val="24"/>
      <w:lang w:val="en-US"/>
    </w:rPr>
  </w:style>
  <w:style w:type="numbering" w:customStyle="1" w:styleId="AECOMBullets">
    <w:name w:val="AECOM_Bullets"/>
    <w:basedOn w:val="NoList"/>
    <w:uiPriority w:val="99"/>
    <w:semiHidden/>
    <w:unhideWhenUsed/>
    <w:rsid w:val="00C86409"/>
    <w:pPr>
      <w:numPr>
        <w:numId w:val="1"/>
      </w:numPr>
    </w:pPr>
  </w:style>
  <w:style w:type="character" w:customStyle="1" w:styleId="Heading5Char">
    <w:name w:val="Heading 5 Char"/>
    <w:basedOn w:val="DefaultParagraphFont"/>
    <w:link w:val="Heading5"/>
    <w:uiPriority w:val="9"/>
    <w:rsid w:val="00F66A91"/>
    <w:rPr>
      <w:rFonts w:asciiTheme="majorHAnsi" w:eastAsiaTheme="majorEastAsia" w:hAnsiTheme="majorHAnsi" w:cstheme="majorBidi"/>
      <w:b/>
      <w:color w:val="00B5E2" w:themeColor="accent1"/>
      <w:kern w:val="18"/>
    </w:rPr>
  </w:style>
  <w:style w:type="paragraph" w:styleId="BodyText">
    <w:name w:val="Body Text"/>
    <w:basedOn w:val="Normal"/>
    <w:link w:val="BodyTextChar"/>
    <w:qFormat/>
    <w:rsid w:val="00BD7718"/>
    <w:pPr>
      <w:tabs>
        <w:tab w:val="clear" w:pos="284"/>
      </w:tabs>
      <w:spacing w:after="180"/>
    </w:pPr>
  </w:style>
  <w:style w:type="numbering" w:customStyle="1" w:styleId="AECOMList">
    <w:name w:val="AECOM_List"/>
    <w:basedOn w:val="NoList"/>
    <w:uiPriority w:val="99"/>
    <w:semiHidden/>
    <w:unhideWhenUsed/>
    <w:rsid w:val="00323654"/>
    <w:pPr>
      <w:numPr>
        <w:numId w:val="2"/>
      </w:numPr>
    </w:pPr>
  </w:style>
  <w:style w:type="character" w:customStyle="1" w:styleId="BodyTextChar">
    <w:name w:val="Body Text Char"/>
    <w:basedOn w:val="DefaultParagraphFont"/>
    <w:link w:val="BodyText"/>
    <w:rsid w:val="00BD7718"/>
    <w:rPr>
      <w:kern w:val="18"/>
    </w:rPr>
  </w:style>
  <w:style w:type="paragraph" w:customStyle="1" w:styleId="CoverTitle">
    <w:name w:val="Cover Title"/>
    <w:basedOn w:val="Normal"/>
    <w:next w:val="BodyText"/>
    <w:semiHidden/>
    <w:unhideWhenUsed/>
    <w:rsid w:val="00DD3356"/>
    <w:pPr>
      <w:spacing w:before="360" w:after="360" w:line="900" w:lineRule="atLeast"/>
    </w:pPr>
    <w:rPr>
      <w:rFonts w:asciiTheme="majorHAnsi" w:hAnsiTheme="majorHAnsi"/>
      <w:b/>
      <w:color w:val="00B5E2" w:themeColor="accent1"/>
      <w:sz w:val="80"/>
    </w:rPr>
  </w:style>
  <w:style w:type="paragraph" w:customStyle="1" w:styleId="SectionTitle">
    <w:name w:val="Section Title"/>
    <w:basedOn w:val="BodyText"/>
    <w:next w:val="BodyText"/>
    <w:semiHidden/>
    <w:unhideWhenUsed/>
    <w:rsid w:val="00D129FA"/>
    <w:pPr>
      <w:spacing w:before="360" w:after="360" w:line="660" w:lineRule="atLeast"/>
      <w:jc w:val="right"/>
    </w:pPr>
    <w:rPr>
      <w:rFonts w:asciiTheme="majorHAnsi" w:hAnsiTheme="majorHAnsi"/>
      <w:color w:val="FFFFFF" w:themeColor="background1"/>
      <w:sz w:val="60"/>
    </w:rPr>
  </w:style>
  <w:style w:type="paragraph" w:customStyle="1" w:styleId="DividerSectionNumber">
    <w:name w:val="Divider Section Number"/>
    <w:basedOn w:val="BodyText"/>
    <w:next w:val="BodyText"/>
    <w:semiHidden/>
    <w:unhideWhenUsed/>
    <w:rsid w:val="00B55307"/>
    <w:pPr>
      <w:spacing w:before="360" w:after="360" w:line="2400" w:lineRule="atLeast"/>
      <w:jc w:val="right"/>
    </w:pPr>
    <w:rPr>
      <w:rFonts w:asciiTheme="majorHAnsi" w:hAnsiTheme="majorHAnsi"/>
      <w:color w:val="FFFFFF" w:themeColor="background1"/>
      <w:sz w:val="200"/>
    </w:rPr>
  </w:style>
  <w:style w:type="paragraph" w:customStyle="1" w:styleId="DividerSectionNumberSmall">
    <w:name w:val="Divider Section Number (Small)"/>
    <w:basedOn w:val="Normal"/>
    <w:next w:val="BodyText"/>
    <w:semiHidden/>
    <w:unhideWhenUsed/>
    <w:rsid w:val="00DD3356"/>
    <w:pPr>
      <w:spacing w:before="360" w:after="360" w:line="1440" w:lineRule="atLeast"/>
      <w:jc w:val="right"/>
    </w:pPr>
    <w:rPr>
      <w:rFonts w:asciiTheme="majorHAnsi" w:hAnsiTheme="majorHAnsi"/>
      <w:b/>
      <w:color w:val="00B5E2" w:themeColor="accent1"/>
      <w:sz w:val="120"/>
    </w:rPr>
  </w:style>
  <w:style w:type="table" w:styleId="TableGrid">
    <w:name w:val="Table Grid"/>
    <w:basedOn w:val="TableNormal"/>
    <w:unhideWhenUsed/>
    <w:rsid w:val="00364FD7"/>
    <w:rPr>
      <w:sz w:val="1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Pr>
    <w:tblStylePr w:type="firstRow">
      <w:rPr>
        <w:rFonts w:asciiTheme="majorHAnsi" w:hAnsiTheme="majorHAnsi"/>
        <w:b w:val="0"/>
      </w:rPr>
    </w:tblStylePr>
  </w:style>
  <w:style w:type="table" w:customStyle="1" w:styleId="AECOMtable">
    <w:name w:val="AECOM table"/>
    <w:basedOn w:val="TableNormal"/>
    <w:uiPriority w:val="99"/>
    <w:semiHidden/>
    <w:unhideWhenUsed/>
    <w:rsid w:val="00A315D3"/>
    <w:rPr>
      <w:sz w:val="16"/>
    </w:rPr>
    <w:tblPr>
      <w:tblBorders>
        <w:insideH w:val="single" w:sz="4" w:space="0" w:color="auto"/>
      </w:tblBorders>
      <w:tblCellMar>
        <w:top w:w="28" w:type="dxa"/>
        <w:left w:w="0" w:type="dxa"/>
        <w:bottom w:w="28" w:type="dxa"/>
        <w:right w:w="113" w:type="dxa"/>
      </w:tblCellMar>
    </w:tblPr>
    <w:tblStylePr w:type="firstRow">
      <w:rPr>
        <w:rFonts w:asciiTheme="majorHAnsi" w:hAnsiTheme="majorHAnsi"/>
        <w:b/>
        <w:color w:val="00B5E2" w:themeColor="accent1"/>
        <w:sz w:val="16"/>
      </w:rPr>
      <w:tblPr/>
      <w:tcPr>
        <w:tcBorders>
          <w:top w:val="nil"/>
          <w:left w:val="nil"/>
          <w:bottom w:val="single" w:sz="12" w:space="0" w:color="00B5E2" w:themeColor="accent1"/>
          <w:right w:val="nil"/>
          <w:insideH w:val="nil"/>
          <w:insideV w:val="nil"/>
          <w:tl2br w:val="nil"/>
          <w:tr2bl w:val="nil"/>
        </w:tcBorders>
      </w:tcPr>
    </w:tblStylePr>
  </w:style>
  <w:style w:type="paragraph" w:styleId="Caption">
    <w:name w:val="caption"/>
    <w:basedOn w:val="Normal"/>
    <w:next w:val="BodyText"/>
    <w:uiPriority w:val="35"/>
    <w:qFormat/>
    <w:rsid w:val="005756F4"/>
    <w:pPr>
      <w:keepNext/>
      <w:spacing w:after="120"/>
    </w:pPr>
    <w:rPr>
      <w:rFonts w:asciiTheme="majorHAnsi" w:hAnsiTheme="majorHAnsi"/>
      <w:b/>
      <w:bCs/>
      <w:color w:val="00B5E2" w:themeColor="accent1"/>
    </w:rPr>
  </w:style>
  <w:style w:type="paragraph" w:customStyle="1" w:styleId="Source">
    <w:name w:val="Source"/>
    <w:basedOn w:val="Normal"/>
    <w:uiPriority w:val="26"/>
    <w:qFormat/>
    <w:rsid w:val="00F4332F"/>
    <w:pPr>
      <w:spacing w:after="120"/>
    </w:pPr>
    <w:rPr>
      <w:i/>
      <w:sz w:val="16"/>
    </w:rPr>
  </w:style>
  <w:style w:type="paragraph" w:styleId="FootnoteText">
    <w:name w:val="footnote text"/>
    <w:basedOn w:val="Normal"/>
    <w:link w:val="FootnoteTextChar"/>
    <w:uiPriority w:val="99"/>
    <w:semiHidden/>
    <w:unhideWhenUsed/>
    <w:rsid w:val="00253171"/>
    <w:pPr>
      <w:spacing w:line="240" w:lineRule="auto"/>
    </w:pPr>
    <w:rPr>
      <w:sz w:val="16"/>
      <w:szCs w:val="20"/>
    </w:rPr>
  </w:style>
  <w:style w:type="character" w:customStyle="1" w:styleId="FootnoteTextChar">
    <w:name w:val="Footnote Text Char"/>
    <w:basedOn w:val="DefaultParagraphFont"/>
    <w:link w:val="FootnoteText"/>
    <w:uiPriority w:val="99"/>
    <w:semiHidden/>
    <w:rsid w:val="00F66A91"/>
    <w:rPr>
      <w:kern w:val="18"/>
      <w:sz w:val="16"/>
      <w:szCs w:val="20"/>
    </w:rPr>
  </w:style>
  <w:style w:type="character" w:styleId="FootnoteReference">
    <w:name w:val="footnote reference"/>
    <w:basedOn w:val="DefaultParagraphFont"/>
    <w:uiPriority w:val="99"/>
    <w:semiHidden/>
    <w:unhideWhenUsed/>
    <w:rsid w:val="00F27E4A"/>
    <w:rPr>
      <w:rFonts w:asciiTheme="majorHAnsi" w:hAnsiTheme="majorHAnsi"/>
      <w:color w:val="auto"/>
      <w:vertAlign w:val="superscript"/>
    </w:rPr>
  </w:style>
  <w:style w:type="paragraph" w:customStyle="1" w:styleId="Appendix">
    <w:name w:val="Appendix"/>
    <w:basedOn w:val="Heading1"/>
    <w:next w:val="BodyText"/>
    <w:uiPriority w:val="7"/>
    <w:qFormat/>
    <w:rsid w:val="006A3705"/>
    <w:pPr>
      <w:pageBreakBefore/>
      <w:numPr>
        <w:numId w:val="20"/>
      </w:numPr>
    </w:pPr>
  </w:style>
  <w:style w:type="character" w:styleId="Hyperlink">
    <w:name w:val="Hyperlink"/>
    <w:basedOn w:val="DefaultParagraphFont"/>
    <w:uiPriority w:val="27"/>
    <w:qFormat/>
    <w:rsid w:val="00F15F1A"/>
    <w:rPr>
      <w:color w:val="00B5E2" w:themeColor="accent1"/>
      <w:u w:val="single"/>
    </w:rPr>
  </w:style>
  <w:style w:type="character" w:styleId="FollowedHyperlink">
    <w:name w:val="FollowedHyperlink"/>
    <w:basedOn w:val="DefaultParagraphFont"/>
    <w:uiPriority w:val="28"/>
    <w:qFormat/>
    <w:rsid w:val="00F15F1A"/>
    <w:rPr>
      <w:color w:val="84BD00" w:themeColor="accent2"/>
      <w:u w:val="single"/>
    </w:rPr>
  </w:style>
  <w:style w:type="table" w:styleId="ColorfulGrid">
    <w:name w:val="Colorful Grid"/>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6F3FF" w:themeFill="accent1" w:themeFillTint="33"/>
    </w:tcPr>
    <w:tblStylePr w:type="firstRow">
      <w:rPr>
        <w:b/>
        <w:bCs/>
      </w:rPr>
      <w:tblPr/>
      <w:tcPr>
        <w:shd w:val="clear" w:color="auto" w:fill="8DE8FF" w:themeFill="accent1" w:themeFillTint="66"/>
      </w:tcPr>
    </w:tblStylePr>
    <w:tblStylePr w:type="lastRow">
      <w:rPr>
        <w:b/>
        <w:bCs/>
        <w:color w:val="000000" w:themeColor="text1"/>
      </w:rPr>
      <w:tblPr/>
      <w:tcPr>
        <w:shd w:val="clear" w:color="auto" w:fill="8DE8FF" w:themeFill="accent1" w:themeFillTint="66"/>
      </w:tcPr>
    </w:tblStylePr>
    <w:tblStylePr w:type="firstCol">
      <w:rPr>
        <w:color w:val="FFFFFF" w:themeColor="background1"/>
      </w:rPr>
      <w:tblPr/>
      <w:tcPr>
        <w:shd w:val="clear" w:color="auto" w:fill="0087A9" w:themeFill="accent1" w:themeFillShade="BF"/>
      </w:tcPr>
    </w:tblStylePr>
    <w:tblStylePr w:type="lastCol">
      <w:rPr>
        <w:color w:val="FFFFFF" w:themeColor="background1"/>
      </w:rPr>
      <w:tblPr/>
      <w:tcPr>
        <w:shd w:val="clear" w:color="auto" w:fill="0087A9" w:themeFill="accent1" w:themeFillShade="BF"/>
      </w:tc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ColorfulGrid-Accent2">
    <w:name w:val="Colorful Grid Accent 2"/>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BFFBE" w:themeFill="accent2" w:themeFillTint="33"/>
    </w:tcPr>
    <w:tblStylePr w:type="firstRow">
      <w:rPr>
        <w:b/>
        <w:bCs/>
      </w:rPr>
      <w:tblPr/>
      <w:tcPr>
        <w:shd w:val="clear" w:color="auto" w:fill="D8FF7E" w:themeFill="accent2" w:themeFillTint="66"/>
      </w:tcPr>
    </w:tblStylePr>
    <w:tblStylePr w:type="lastRow">
      <w:rPr>
        <w:b/>
        <w:bCs/>
        <w:color w:val="000000" w:themeColor="text1"/>
      </w:rPr>
      <w:tblPr/>
      <w:tcPr>
        <w:shd w:val="clear" w:color="auto" w:fill="D8FF7E" w:themeFill="accent2" w:themeFillTint="66"/>
      </w:tcPr>
    </w:tblStylePr>
    <w:tblStylePr w:type="firstCol">
      <w:rPr>
        <w:color w:val="FFFFFF" w:themeColor="background1"/>
      </w:rPr>
      <w:tblPr/>
      <w:tcPr>
        <w:shd w:val="clear" w:color="auto" w:fill="628D00" w:themeFill="accent2" w:themeFillShade="BF"/>
      </w:tcPr>
    </w:tblStylePr>
    <w:tblStylePr w:type="lastCol">
      <w:rPr>
        <w:color w:val="FFFFFF" w:themeColor="background1"/>
      </w:rPr>
      <w:tblPr/>
      <w:tcPr>
        <w:shd w:val="clear" w:color="auto" w:fill="628D00" w:themeFill="accent2" w:themeFillShade="BF"/>
      </w:tc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ColorfulGrid-Accent3">
    <w:name w:val="Colorful Grid Accent 3"/>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DE7D2" w:themeFill="accent3" w:themeFillTint="33"/>
    </w:tcPr>
    <w:tblStylePr w:type="firstRow">
      <w:rPr>
        <w:b/>
        <w:bCs/>
      </w:rPr>
      <w:tblPr/>
      <w:tcPr>
        <w:shd w:val="clear" w:color="auto" w:fill="FBD0A5" w:themeFill="accent3" w:themeFillTint="66"/>
      </w:tcPr>
    </w:tblStylePr>
    <w:tblStylePr w:type="lastRow">
      <w:rPr>
        <w:b/>
        <w:bCs/>
        <w:color w:val="000000" w:themeColor="text1"/>
      </w:rPr>
      <w:tblPr/>
      <w:tcPr>
        <w:shd w:val="clear" w:color="auto" w:fill="FBD0A5" w:themeFill="accent3" w:themeFillTint="66"/>
      </w:tcPr>
    </w:tblStylePr>
    <w:tblStylePr w:type="firstCol">
      <w:rPr>
        <w:color w:val="FFFFFF" w:themeColor="background1"/>
      </w:rPr>
      <w:tblPr/>
      <w:tcPr>
        <w:shd w:val="clear" w:color="auto" w:fill="C76808" w:themeFill="accent3" w:themeFillShade="BF"/>
      </w:tcPr>
    </w:tblStylePr>
    <w:tblStylePr w:type="lastCol">
      <w:rPr>
        <w:color w:val="FFFFFF" w:themeColor="background1"/>
      </w:rPr>
      <w:tblPr/>
      <w:tcPr>
        <w:shd w:val="clear" w:color="auto" w:fill="C76808" w:themeFill="accent3" w:themeFillShade="BF"/>
      </w:tc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ColorfulGrid-Accent4">
    <w:name w:val="Colorful Grid Accent 4"/>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B8F0" w:themeFill="accent4" w:themeFillTint="33"/>
    </w:tcPr>
    <w:tblStylePr w:type="firstRow">
      <w:rPr>
        <w:b/>
        <w:bCs/>
      </w:rPr>
      <w:tblPr/>
      <w:tcPr>
        <w:shd w:val="clear" w:color="auto" w:fill="FF72E2" w:themeFill="accent4" w:themeFillTint="66"/>
      </w:tcPr>
    </w:tblStylePr>
    <w:tblStylePr w:type="lastRow">
      <w:rPr>
        <w:b/>
        <w:bCs/>
        <w:color w:val="000000" w:themeColor="text1"/>
      </w:rPr>
      <w:tblPr/>
      <w:tcPr>
        <w:shd w:val="clear" w:color="auto" w:fill="FF72E2" w:themeFill="accent4" w:themeFillTint="66"/>
      </w:tcPr>
    </w:tblStylePr>
    <w:tblStylePr w:type="firstCol">
      <w:rPr>
        <w:color w:val="FFFFFF" w:themeColor="background1"/>
      </w:rPr>
      <w:tblPr/>
      <w:tcPr>
        <w:shd w:val="clear" w:color="auto" w:fill="76005E" w:themeFill="accent4" w:themeFillShade="BF"/>
      </w:tcPr>
    </w:tblStylePr>
    <w:tblStylePr w:type="lastCol">
      <w:rPr>
        <w:color w:val="FFFFFF" w:themeColor="background1"/>
      </w:rPr>
      <w:tblPr/>
      <w:tcPr>
        <w:shd w:val="clear" w:color="auto" w:fill="76005E" w:themeFill="accent4" w:themeFillShade="BF"/>
      </w:tc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ColorfulGrid-Accent5">
    <w:name w:val="Colorful Grid Accent 5"/>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F9CF" w:themeFill="accent5" w:themeFillTint="33"/>
    </w:tcPr>
    <w:tblStylePr w:type="firstRow">
      <w:rPr>
        <w:b/>
        <w:bCs/>
      </w:rPr>
      <w:tblPr/>
      <w:tcPr>
        <w:shd w:val="clear" w:color="auto" w:fill="FFF4A0" w:themeFill="accent5" w:themeFillTint="66"/>
      </w:tcPr>
    </w:tblStylePr>
    <w:tblStylePr w:type="lastRow">
      <w:rPr>
        <w:b/>
        <w:bCs/>
        <w:color w:val="000000" w:themeColor="text1"/>
      </w:rPr>
      <w:tblPr/>
      <w:tcPr>
        <w:shd w:val="clear" w:color="auto" w:fill="FFF4A0" w:themeFill="accent5" w:themeFillTint="66"/>
      </w:tcPr>
    </w:tblStylePr>
    <w:tblStylePr w:type="firstCol">
      <w:rPr>
        <w:color w:val="FFFFFF" w:themeColor="background1"/>
      </w:rPr>
      <w:tblPr/>
      <w:tcPr>
        <w:shd w:val="clear" w:color="auto" w:fill="CCB500" w:themeFill="accent5" w:themeFillShade="BF"/>
      </w:tcPr>
    </w:tblStylePr>
    <w:tblStylePr w:type="lastCol">
      <w:rPr>
        <w:color w:val="FFFFFF" w:themeColor="background1"/>
      </w:rPr>
      <w:tblPr/>
      <w:tcPr>
        <w:shd w:val="clear" w:color="auto" w:fill="CCB500" w:themeFill="accent5" w:themeFillShade="BF"/>
      </w:tc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ColorfulGrid-Accent6">
    <w:name w:val="Colorful Grid Accent 6"/>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8E5E4" w:themeFill="accent6" w:themeFillTint="33"/>
    </w:tcPr>
    <w:tblStylePr w:type="firstRow">
      <w:rPr>
        <w:b/>
        <w:bCs/>
      </w:rPr>
      <w:tblPr/>
      <w:tcPr>
        <w:shd w:val="clear" w:color="auto" w:fill="D1CCC9" w:themeFill="accent6" w:themeFillTint="66"/>
      </w:tcPr>
    </w:tblStylePr>
    <w:tblStylePr w:type="lastRow">
      <w:rPr>
        <w:b/>
        <w:bCs/>
        <w:color w:val="000000" w:themeColor="text1"/>
      </w:rPr>
      <w:tblPr/>
      <w:tcPr>
        <w:shd w:val="clear" w:color="auto" w:fill="D1CCC9" w:themeFill="accent6" w:themeFillTint="66"/>
      </w:tcPr>
    </w:tblStylePr>
    <w:tblStylePr w:type="firstCol">
      <w:rPr>
        <w:color w:val="FFFFFF" w:themeColor="background1"/>
      </w:rPr>
      <w:tblPr/>
      <w:tcPr>
        <w:shd w:val="clear" w:color="auto" w:fill="69615A" w:themeFill="accent6" w:themeFillShade="BF"/>
      </w:tcPr>
    </w:tblStylePr>
    <w:tblStylePr w:type="lastCol">
      <w:rPr>
        <w:color w:val="FFFFFF" w:themeColor="background1"/>
      </w:rPr>
      <w:tblPr/>
      <w:tcPr>
        <w:shd w:val="clear" w:color="auto" w:fill="69615A" w:themeFill="accent6" w:themeFillShade="BF"/>
      </w:tc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ColorfulList">
    <w:name w:val="Colorful List"/>
    <w:basedOn w:val="TableNormal"/>
    <w:uiPriority w:val="72"/>
    <w:semiHidden/>
    <w:unhideWhenUsed/>
    <w:rsid w:val="009E6ED7"/>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9E6ED7"/>
    <w:rPr>
      <w:color w:val="000000" w:themeColor="text1"/>
    </w:rPr>
    <w:tblPr>
      <w:tblStyleRowBandSize w:val="1"/>
      <w:tblStyleColBandSize w:val="1"/>
    </w:tblPr>
    <w:tcPr>
      <w:shd w:val="clear" w:color="auto" w:fill="E3F9FF" w:themeFill="accen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8F0FF" w:themeFill="accent1" w:themeFillTint="3F"/>
      </w:tcPr>
    </w:tblStylePr>
    <w:tblStylePr w:type="band1Horz">
      <w:tblPr/>
      <w:tcPr>
        <w:shd w:val="clear" w:color="auto" w:fill="C6F3FF" w:themeFill="accent1" w:themeFillTint="33"/>
      </w:tcPr>
    </w:tblStylePr>
  </w:style>
  <w:style w:type="table" w:styleId="ColorfulList-Accent2">
    <w:name w:val="Colorful List Accent 2"/>
    <w:basedOn w:val="TableNormal"/>
    <w:uiPriority w:val="72"/>
    <w:semiHidden/>
    <w:unhideWhenUsed/>
    <w:rsid w:val="009E6ED7"/>
    <w:rPr>
      <w:color w:val="000000" w:themeColor="text1"/>
    </w:rPr>
    <w:tblPr>
      <w:tblStyleRowBandSize w:val="1"/>
      <w:tblStyleColBandSize w:val="1"/>
    </w:tblPr>
    <w:tcPr>
      <w:shd w:val="clear" w:color="auto" w:fill="F5FFDF" w:themeFill="accent2"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7FFAF" w:themeFill="accent2" w:themeFillTint="3F"/>
      </w:tcPr>
    </w:tblStylePr>
    <w:tblStylePr w:type="band1Horz">
      <w:tblPr/>
      <w:tcPr>
        <w:shd w:val="clear" w:color="auto" w:fill="EBFFBE" w:themeFill="accent2" w:themeFillTint="33"/>
      </w:tcPr>
    </w:tblStylePr>
  </w:style>
  <w:style w:type="table" w:styleId="ColorfulList-Accent3">
    <w:name w:val="Colorful List Accent 3"/>
    <w:basedOn w:val="TableNormal"/>
    <w:uiPriority w:val="72"/>
    <w:semiHidden/>
    <w:unhideWhenUsed/>
    <w:rsid w:val="009E6ED7"/>
    <w:rPr>
      <w:color w:val="000000" w:themeColor="text1"/>
    </w:rPr>
    <w:tblPr>
      <w:tblStyleRowBandSize w:val="1"/>
      <w:tblStyleColBandSize w:val="1"/>
    </w:tblPr>
    <w:tcPr>
      <w:shd w:val="clear" w:color="auto" w:fill="FEF3E8" w:themeFill="accent3" w:themeFillTint="19"/>
    </w:tcPr>
    <w:tblStylePr w:type="firstRow">
      <w:rPr>
        <w:b/>
        <w:bCs/>
        <w:color w:val="FFFFFF" w:themeColor="background1"/>
      </w:rPr>
      <w:tblPr/>
      <w:tcPr>
        <w:tcBorders>
          <w:bottom w:val="single" w:sz="12" w:space="0" w:color="FFFFFF" w:themeColor="background1"/>
        </w:tcBorders>
        <w:shd w:val="clear" w:color="auto" w:fill="7E0064" w:themeFill="accent4" w:themeFillShade="CC"/>
      </w:tcPr>
    </w:tblStylePr>
    <w:tblStylePr w:type="lastRow">
      <w:rPr>
        <w:b/>
        <w:bCs/>
        <w:color w:val="7E0064"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CE2C7" w:themeFill="accent3" w:themeFillTint="3F"/>
      </w:tcPr>
    </w:tblStylePr>
    <w:tblStylePr w:type="band1Horz">
      <w:tblPr/>
      <w:tcPr>
        <w:shd w:val="clear" w:color="auto" w:fill="FDE7D2" w:themeFill="accent3" w:themeFillTint="33"/>
      </w:tcPr>
    </w:tblStylePr>
  </w:style>
  <w:style w:type="table" w:styleId="ColorfulList-Accent4">
    <w:name w:val="Colorful List Accent 4"/>
    <w:basedOn w:val="TableNormal"/>
    <w:uiPriority w:val="72"/>
    <w:semiHidden/>
    <w:unhideWhenUsed/>
    <w:rsid w:val="009E6ED7"/>
    <w:rPr>
      <w:color w:val="000000" w:themeColor="text1"/>
    </w:rPr>
    <w:tblPr>
      <w:tblStyleRowBandSize w:val="1"/>
      <w:tblStyleColBandSize w:val="1"/>
    </w:tblPr>
    <w:tcPr>
      <w:shd w:val="clear" w:color="auto" w:fill="FFDCF7" w:themeFill="accent4" w:themeFillTint="19"/>
    </w:tcPr>
    <w:tblStylePr w:type="firstRow">
      <w:rPr>
        <w:b/>
        <w:bCs/>
        <w:color w:val="FFFFFF" w:themeColor="background1"/>
      </w:rPr>
      <w:tblPr/>
      <w:tcPr>
        <w:tcBorders>
          <w:bottom w:val="single" w:sz="12" w:space="0" w:color="FFFFFF" w:themeColor="background1"/>
        </w:tcBorders>
        <w:shd w:val="clear" w:color="auto" w:fill="D46F08" w:themeFill="accent3" w:themeFillShade="CC"/>
      </w:tcPr>
    </w:tblStylePr>
    <w:tblStylePr w:type="lastRow">
      <w:rPr>
        <w:b/>
        <w:bCs/>
        <w:color w:val="D46F08"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A8ED" w:themeFill="accent4" w:themeFillTint="3F"/>
      </w:tcPr>
    </w:tblStylePr>
    <w:tblStylePr w:type="band1Horz">
      <w:tblPr/>
      <w:tcPr>
        <w:shd w:val="clear" w:color="auto" w:fill="FFB8F0" w:themeFill="accent4" w:themeFillTint="33"/>
      </w:tcPr>
    </w:tblStylePr>
  </w:style>
  <w:style w:type="table" w:styleId="ColorfulList-Accent5">
    <w:name w:val="Colorful List Accent 5"/>
    <w:basedOn w:val="TableNormal"/>
    <w:uiPriority w:val="72"/>
    <w:semiHidden/>
    <w:unhideWhenUsed/>
    <w:rsid w:val="009E6ED7"/>
    <w:rPr>
      <w:color w:val="000000" w:themeColor="text1"/>
    </w:rPr>
    <w:tblPr>
      <w:tblStyleRowBandSize w:val="1"/>
      <w:tblStyleColBandSize w:val="1"/>
    </w:tblPr>
    <w:tcPr>
      <w:shd w:val="clear" w:color="auto" w:fill="FFFCE7" w:themeFill="accent5" w:themeFillTint="19"/>
    </w:tcPr>
    <w:tblStylePr w:type="firstRow">
      <w:rPr>
        <w:b/>
        <w:bCs/>
        <w:color w:val="FFFFFF" w:themeColor="background1"/>
      </w:rPr>
      <w:tblPr/>
      <w:tcPr>
        <w:tcBorders>
          <w:bottom w:val="single" w:sz="12" w:space="0" w:color="FFFFFF" w:themeColor="background1"/>
        </w:tcBorders>
        <w:shd w:val="clear" w:color="auto" w:fill="706760" w:themeFill="accent6" w:themeFillShade="CC"/>
      </w:tcPr>
    </w:tblStylePr>
    <w:tblStylePr w:type="lastRow">
      <w:rPr>
        <w:b/>
        <w:bCs/>
        <w:color w:val="706760"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F8C4" w:themeFill="accent5" w:themeFillTint="3F"/>
      </w:tcPr>
    </w:tblStylePr>
    <w:tblStylePr w:type="band1Horz">
      <w:tblPr/>
      <w:tcPr>
        <w:shd w:val="clear" w:color="auto" w:fill="FFF9CF" w:themeFill="accent5" w:themeFillTint="33"/>
      </w:tcPr>
    </w:tblStylePr>
  </w:style>
  <w:style w:type="table" w:styleId="ColorfulList-Accent6">
    <w:name w:val="Colorful List Accent 6"/>
    <w:basedOn w:val="TableNormal"/>
    <w:uiPriority w:val="72"/>
    <w:semiHidden/>
    <w:unhideWhenUsed/>
    <w:rsid w:val="009E6ED7"/>
    <w:rPr>
      <w:color w:val="000000" w:themeColor="text1"/>
    </w:rPr>
    <w:tblPr>
      <w:tblStyleRowBandSize w:val="1"/>
      <w:tblStyleColBandSize w:val="1"/>
    </w:tblPr>
    <w:tcPr>
      <w:shd w:val="clear" w:color="auto" w:fill="F3F2F1" w:themeFill="accent6" w:themeFillTint="19"/>
    </w:tcPr>
    <w:tblStylePr w:type="firstRow">
      <w:rPr>
        <w:b/>
        <w:bCs/>
        <w:color w:val="FFFFFF" w:themeColor="background1"/>
      </w:rPr>
      <w:tblPr/>
      <w:tcPr>
        <w:tcBorders>
          <w:bottom w:val="single" w:sz="12" w:space="0" w:color="FFFFFF" w:themeColor="background1"/>
        </w:tcBorders>
        <w:shd w:val="clear" w:color="auto" w:fill="DAC200" w:themeFill="accent5" w:themeFillShade="CC"/>
      </w:tcPr>
    </w:tblStylePr>
    <w:tblStylePr w:type="lastRow">
      <w:rPr>
        <w:b/>
        <w:bCs/>
        <w:color w:val="DAC200"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2E0DD" w:themeFill="accent6" w:themeFillTint="3F"/>
      </w:tcPr>
    </w:tblStylePr>
    <w:tblStylePr w:type="band1Horz">
      <w:tblPr/>
      <w:tcPr>
        <w:shd w:val="clear" w:color="auto" w:fill="E8E5E4" w:themeFill="accent6" w:themeFillTint="33"/>
      </w:tcPr>
    </w:tblStylePr>
  </w:style>
  <w:style w:type="table" w:styleId="ColorfulShading">
    <w:name w:val="Colorful Shading"/>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B5E2" w:themeColor="accent1"/>
        <w:bottom w:val="single" w:sz="4" w:space="0" w:color="00B5E2" w:themeColor="accent1"/>
        <w:right w:val="single" w:sz="4" w:space="0" w:color="00B5E2" w:themeColor="accent1"/>
        <w:insideH w:val="single" w:sz="4" w:space="0" w:color="FFFFFF" w:themeColor="background1"/>
        <w:insideV w:val="single" w:sz="4" w:space="0" w:color="FFFFFF" w:themeColor="background1"/>
      </w:tblBorders>
    </w:tblPr>
    <w:tcPr>
      <w:shd w:val="clear" w:color="auto" w:fill="E3F9FF" w:themeFill="accen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6C87" w:themeFill="accent1" w:themeFillShade="99"/>
      </w:tcPr>
    </w:tblStylePr>
    <w:tblStylePr w:type="firstCol">
      <w:rPr>
        <w:color w:val="FFFFFF" w:themeColor="background1"/>
      </w:rPr>
      <w:tblPr/>
      <w:tcPr>
        <w:tcBorders>
          <w:top w:val="nil"/>
          <w:left w:val="nil"/>
          <w:bottom w:val="nil"/>
          <w:right w:val="nil"/>
          <w:insideH w:val="single" w:sz="4" w:space="0" w:color="006C87" w:themeColor="accent1" w:themeShade="99"/>
          <w:insideV w:val="nil"/>
        </w:tcBorders>
        <w:shd w:val="clear" w:color="auto" w:fill="006C87"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006C87" w:themeFill="accent1" w:themeFillShade="99"/>
      </w:tcPr>
    </w:tblStylePr>
    <w:tblStylePr w:type="band1Vert">
      <w:tblPr/>
      <w:tcPr>
        <w:shd w:val="clear" w:color="auto" w:fill="8DE8FF" w:themeFill="accent1" w:themeFillTint="66"/>
      </w:tcPr>
    </w:tblStylePr>
    <w:tblStylePr w:type="band1Horz">
      <w:tblPr/>
      <w:tcPr>
        <w:shd w:val="clear" w:color="auto" w:fill="71E2FF"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84BD00" w:themeColor="accent2"/>
        <w:bottom w:val="single" w:sz="4" w:space="0" w:color="84BD00" w:themeColor="accent2"/>
        <w:right w:val="single" w:sz="4" w:space="0" w:color="84BD00" w:themeColor="accent2"/>
        <w:insideH w:val="single" w:sz="4" w:space="0" w:color="FFFFFF" w:themeColor="background1"/>
        <w:insideV w:val="single" w:sz="4" w:space="0" w:color="FFFFFF" w:themeColor="background1"/>
      </w:tblBorders>
    </w:tblPr>
    <w:tcPr>
      <w:shd w:val="clear" w:color="auto" w:fill="F5FFDF" w:themeFill="accent2"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F7100" w:themeFill="accent2" w:themeFillShade="99"/>
      </w:tcPr>
    </w:tblStylePr>
    <w:tblStylePr w:type="firstCol">
      <w:rPr>
        <w:color w:val="FFFFFF" w:themeColor="background1"/>
      </w:rPr>
      <w:tblPr/>
      <w:tcPr>
        <w:tcBorders>
          <w:top w:val="nil"/>
          <w:left w:val="nil"/>
          <w:bottom w:val="nil"/>
          <w:right w:val="nil"/>
          <w:insideH w:val="single" w:sz="4" w:space="0" w:color="4F7100" w:themeColor="accent2" w:themeShade="99"/>
          <w:insideV w:val="nil"/>
        </w:tcBorders>
        <w:shd w:val="clear" w:color="auto" w:fill="4F7100"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4F7100" w:themeFill="accent2" w:themeFillShade="99"/>
      </w:tcPr>
    </w:tblStylePr>
    <w:tblStylePr w:type="band1Vert">
      <w:tblPr/>
      <w:tcPr>
        <w:shd w:val="clear" w:color="auto" w:fill="D8FF7E" w:themeFill="accent2" w:themeFillTint="66"/>
      </w:tcPr>
    </w:tblStylePr>
    <w:tblStylePr w:type="band1Horz">
      <w:tblPr/>
      <w:tcPr>
        <w:shd w:val="clear" w:color="auto" w:fill="CEFF5F"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9E6ED7"/>
    <w:rPr>
      <w:color w:val="000000" w:themeColor="text1"/>
    </w:rPr>
    <w:tblPr>
      <w:tblStyleRowBandSize w:val="1"/>
      <w:tblStyleColBandSize w:val="1"/>
      <w:tblBorders>
        <w:top w:val="single" w:sz="24" w:space="0" w:color="9E007E" w:themeColor="accent4"/>
        <w:left w:val="single" w:sz="4" w:space="0" w:color="F68B1F" w:themeColor="accent3"/>
        <w:bottom w:val="single" w:sz="4" w:space="0" w:color="F68B1F" w:themeColor="accent3"/>
        <w:right w:val="single" w:sz="4" w:space="0" w:color="F68B1F" w:themeColor="accent3"/>
        <w:insideH w:val="single" w:sz="4" w:space="0" w:color="FFFFFF" w:themeColor="background1"/>
        <w:insideV w:val="single" w:sz="4" w:space="0" w:color="FFFFFF" w:themeColor="background1"/>
      </w:tblBorders>
    </w:tblPr>
    <w:tcPr>
      <w:shd w:val="clear" w:color="auto" w:fill="FEF3E8" w:themeFill="accent3" w:themeFillTint="19"/>
    </w:tcPr>
    <w:tblStylePr w:type="firstRow">
      <w:rPr>
        <w:b/>
        <w:bCs/>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F5306" w:themeFill="accent3" w:themeFillShade="99"/>
      </w:tcPr>
    </w:tblStylePr>
    <w:tblStylePr w:type="firstCol">
      <w:rPr>
        <w:color w:val="FFFFFF" w:themeColor="background1"/>
      </w:rPr>
      <w:tblPr/>
      <w:tcPr>
        <w:tcBorders>
          <w:top w:val="nil"/>
          <w:left w:val="nil"/>
          <w:bottom w:val="nil"/>
          <w:right w:val="nil"/>
          <w:insideH w:val="single" w:sz="4" w:space="0" w:color="9F5306" w:themeColor="accent3" w:themeShade="99"/>
          <w:insideV w:val="nil"/>
        </w:tcBorders>
        <w:shd w:val="clear" w:color="auto" w:fill="9F5306"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9F5306" w:themeFill="accent3" w:themeFillShade="99"/>
      </w:tcPr>
    </w:tblStylePr>
    <w:tblStylePr w:type="band1Vert">
      <w:tblPr/>
      <w:tcPr>
        <w:shd w:val="clear" w:color="auto" w:fill="FBD0A5" w:themeFill="accent3" w:themeFillTint="66"/>
      </w:tcPr>
    </w:tblStylePr>
    <w:tblStylePr w:type="band1Horz">
      <w:tblPr/>
      <w:tcPr>
        <w:shd w:val="clear" w:color="auto" w:fill="FAC58F" w:themeFill="accent3" w:themeFillTint="7F"/>
      </w:tcPr>
    </w:tblStylePr>
  </w:style>
  <w:style w:type="table" w:styleId="ColorfulShading-Accent4">
    <w:name w:val="Colorful Shading Accent 4"/>
    <w:basedOn w:val="TableNormal"/>
    <w:uiPriority w:val="71"/>
    <w:semiHidden/>
    <w:unhideWhenUsed/>
    <w:rsid w:val="009E6ED7"/>
    <w:rPr>
      <w:color w:val="000000" w:themeColor="text1"/>
    </w:rPr>
    <w:tblPr>
      <w:tblStyleRowBandSize w:val="1"/>
      <w:tblStyleColBandSize w:val="1"/>
      <w:tblBorders>
        <w:top w:val="single" w:sz="24" w:space="0" w:color="F68B1F" w:themeColor="accent3"/>
        <w:left w:val="single" w:sz="4" w:space="0" w:color="9E007E" w:themeColor="accent4"/>
        <w:bottom w:val="single" w:sz="4" w:space="0" w:color="9E007E" w:themeColor="accent4"/>
        <w:right w:val="single" w:sz="4" w:space="0" w:color="9E007E" w:themeColor="accent4"/>
        <w:insideH w:val="single" w:sz="4" w:space="0" w:color="FFFFFF" w:themeColor="background1"/>
        <w:insideV w:val="single" w:sz="4" w:space="0" w:color="FFFFFF" w:themeColor="background1"/>
      </w:tblBorders>
    </w:tblPr>
    <w:tcPr>
      <w:shd w:val="clear" w:color="auto" w:fill="FFDCF7" w:themeFill="accent4" w:themeFillTint="19"/>
    </w:tcPr>
    <w:tblStylePr w:type="firstRow">
      <w:rPr>
        <w:b/>
        <w:bCs/>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004B" w:themeFill="accent4" w:themeFillShade="99"/>
      </w:tcPr>
    </w:tblStylePr>
    <w:tblStylePr w:type="firstCol">
      <w:rPr>
        <w:color w:val="FFFFFF" w:themeColor="background1"/>
      </w:rPr>
      <w:tblPr/>
      <w:tcPr>
        <w:tcBorders>
          <w:top w:val="nil"/>
          <w:left w:val="nil"/>
          <w:bottom w:val="nil"/>
          <w:right w:val="nil"/>
          <w:insideH w:val="single" w:sz="4" w:space="0" w:color="5E004B" w:themeColor="accent4" w:themeShade="99"/>
          <w:insideV w:val="nil"/>
        </w:tcBorders>
        <w:shd w:val="clear" w:color="auto" w:fill="5E004B"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5E004B" w:themeFill="accent4" w:themeFillShade="99"/>
      </w:tcPr>
    </w:tblStylePr>
    <w:tblStylePr w:type="band1Vert">
      <w:tblPr/>
      <w:tcPr>
        <w:shd w:val="clear" w:color="auto" w:fill="FF72E2" w:themeFill="accent4" w:themeFillTint="66"/>
      </w:tcPr>
    </w:tblStylePr>
    <w:tblStylePr w:type="band1Horz">
      <w:tblPr/>
      <w:tcPr>
        <w:shd w:val="clear" w:color="auto" w:fill="FF4FDB"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9E6ED7"/>
    <w:rPr>
      <w:color w:val="000000" w:themeColor="text1"/>
    </w:rPr>
    <w:tblPr>
      <w:tblStyleRowBandSize w:val="1"/>
      <w:tblStyleColBandSize w:val="1"/>
      <w:tblBorders>
        <w:top w:val="single" w:sz="24" w:space="0" w:color="8C8279" w:themeColor="accent6"/>
        <w:left w:val="single" w:sz="4" w:space="0" w:color="FFE512" w:themeColor="accent5"/>
        <w:bottom w:val="single" w:sz="4" w:space="0" w:color="FFE512" w:themeColor="accent5"/>
        <w:right w:val="single" w:sz="4" w:space="0" w:color="FFE512" w:themeColor="accent5"/>
        <w:insideH w:val="single" w:sz="4" w:space="0" w:color="FFFFFF" w:themeColor="background1"/>
        <w:insideV w:val="single" w:sz="4" w:space="0" w:color="FFFFFF" w:themeColor="background1"/>
      </w:tblBorders>
    </w:tblPr>
    <w:tcPr>
      <w:shd w:val="clear" w:color="auto" w:fill="FFFCE7" w:themeFill="accent5" w:themeFillTint="19"/>
    </w:tcPr>
    <w:tblStylePr w:type="firstRow">
      <w:rPr>
        <w:b/>
        <w:bCs/>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A39100" w:themeFill="accent5" w:themeFillShade="99"/>
      </w:tcPr>
    </w:tblStylePr>
    <w:tblStylePr w:type="firstCol">
      <w:rPr>
        <w:color w:val="FFFFFF" w:themeColor="background1"/>
      </w:rPr>
      <w:tblPr/>
      <w:tcPr>
        <w:tcBorders>
          <w:top w:val="nil"/>
          <w:left w:val="nil"/>
          <w:bottom w:val="nil"/>
          <w:right w:val="nil"/>
          <w:insideH w:val="single" w:sz="4" w:space="0" w:color="A39100" w:themeColor="accent5" w:themeShade="99"/>
          <w:insideV w:val="nil"/>
        </w:tcBorders>
        <w:shd w:val="clear" w:color="auto" w:fill="A39100"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A39100" w:themeFill="accent5" w:themeFillShade="99"/>
      </w:tcPr>
    </w:tblStylePr>
    <w:tblStylePr w:type="band1Vert">
      <w:tblPr/>
      <w:tcPr>
        <w:shd w:val="clear" w:color="auto" w:fill="FFF4A0" w:themeFill="accent5" w:themeFillTint="66"/>
      </w:tcPr>
    </w:tblStylePr>
    <w:tblStylePr w:type="band1Horz">
      <w:tblPr/>
      <w:tcPr>
        <w:shd w:val="clear" w:color="auto" w:fill="FFF288"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9E6ED7"/>
    <w:rPr>
      <w:color w:val="000000" w:themeColor="text1"/>
    </w:rPr>
    <w:tblPr>
      <w:tblStyleRowBandSize w:val="1"/>
      <w:tblStyleColBandSize w:val="1"/>
      <w:tblBorders>
        <w:top w:val="single" w:sz="24" w:space="0" w:color="FFE512" w:themeColor="accent5"/>
        <w:left w:val="single" w:sz="4" w:space="0" w:color="8C8279" w:themeColor="accent6"/>
        <w:bottom w:val="single" w:sz="4" w:space="0" w:color="8C8279" w:themeColor="accent6"/>
        <w:right w:val="single" w:sz="4" w:space="0" w:color="8C8279" w:themeColor="accent6"/>
        <w:insideH w:val="single" w:sz="4" w:space="0" w:color="FFFFFF" w:themeColor="background1"/>
        <w:insideV w:val="single" w:sz="4" w:space="0" w:color="FFFFFF" w:themeColor="background1"/>
      </w:tblBorders>
    </w:tblPr>
    <w:tcPr>
      <w:shd w:val="clear" w:color="auto" w:fill="F3F2F1" w:themeFill="accent6" w:themeFillTint="19"/>
    </w:tcPr>
    <w:tblStylePr w:type="firstRow">
      <w:rPr>
        <w:b/>
        <w:bCs/>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44D48" w:themeFill="accent6" w:themeFillShade="99"/>
      </w:tcPr>
    </w:tblStylePr>
    <w:tblStylePr w:type="firstCol">
      <w:rPr>
        <w:color w:val="FFFFFF" w:themeColor="background1"/>
      </w:rPr>
      <w:tblPr/>
      <w:tcPr>
        <w:tcBorders>
          <w:top w:val="nil"/>
          <w:left w:val="nil"/>
          <w:bottom w:val="nil"/>
          <w:right w:val="nil"/>
          <w:insideH w:val="single" w:sz="4" w:space="0" w:color="544D48" w:themeColor="accent6" w:themeShade="99"/>
          <w:insideV w:val="nil"/>
        </w:tcBorders>
        <w:shd w:val="clear" w:color="auto" w:fill="544D4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544D48" w:themeFill="accent6" w:themeFillShade="99"/>
      </w:tcPr>
    </w:tblStylePr>
    <w:tblStylePr w:type="band1Vert">
      <w:tblPr/>
      <w:tcPr>
        <w:shd w:val="clear" w:color="auto" w:fill="D1CCC9" w:themeFill="accent6" w:themeFillTint="66"/>
      </w:tcPr>
    </w:tblStylePr>
    <w:tblStylePr w:type="band1Horz">
      <w:tblPr/>
      <w:tcPr>
        <w:shd w:val="clear" w:color="auto" w:fill="C5C0BC"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unhideWhenUsed/>
    <w:rsid w:val="009E6ED7"/>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9E6ED7"/>
    <w:rPr>
      <w:color w:val="FFFFFF" w:themeColor="background1"/>
    </w:rPr>
    <w:tblPr>
      <w:tblStyleRowBandSize w:val="1"/>
      <w:tblStyleColBandSize w:val="1"/>
    </w:tblPr>
    <w:tcPr>
      <w:shd w:val="clear" w:color="auto" w:fill="00B5E2"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597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0087A9"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0087A9" w:themeFill="accent1" w:themeFillShade="BF"/>
      </w:tcPr>
    </w:tblStylePr>
    <w:tblStylePr w:type="band1Vert">
      <w:tblPr/>
      <w:tcPr>
        <w:tcBorders>
          <w:top w:val="nil"/>
          <w:left w:val="nil"/>
          <w:bottom w:val="nil"/>
          <w:right w:val="nil"/>
          <w:insideH w:val="nil"/>
          <w:insideV w:val="nil"/>
        </w:tcBorders>
        <w:shd w:val="clear" w:color="auto" w:fill="0087A9" w:themeFill="accent1" w:themeFillShade="BF"/>
      </w:tcPr>
    </w:tblStylePr>
    <w:tblStylePr w:type="band1Horz">
      <w:tblPr/>
      <w:tcPr>
        <w:tcBorders>
          <w:top w:val="nil"/>
          <w:left w:val="nil"/>
          <w:bottom w:val="nil"/>
          <w:right w:val="nil"/>
          <w:insideH w:val="nil"/>
          <w:insideV w:val="nil"/>
        </w:tcBorders>
        <w:shd w:val="clear" w:color="auto" w:fill="0087A9" w:themeFill="accent1" w:themeFillShade="BF"/>
      </w:tcPr>
    </w:tblStylePr>
  </w:style>
  <w:style w:type="table" w:styleId="DarkList-Accent2">
    <w:name w:val="Dark List Accent 2"/>
    <w:basedOn w:val="TableNormal"/>
    <w:uiPriority w:val="70"/>
    <w:semiHidden/>
    <w:unhideWhenUsed/>
    <w:rsid w:val="009E6ED7"/>
    <w:rPr>
      <w:color w:val="FFFFFF" w:themeColor="background1"/>
    </w:rPr>
    <w:tblPr>
      <w:tblStyleRowBandSize w:val="1"/>
      <w:tblStyleColBandSize w:val="1"/>
    </w:tblPr>
    <w:tcPr>
      <w:shd w:val="clear" w:color="auto" w:fill="84BD00"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15E00"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628D00"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628D00" w:themeFill="accent2" w:themeFillShade="BF"/>
      </w:tcPr>
    </w:tblStylePr>
    <w:tblStylePr w:type="band1Vert">
      <w:tblPr/>
      <w:tcPr>
        <w:tcBorders>
          <w:top w:val="nil"/>
          <w:left w:val="nil"/>
          <w:bottom w:val="nil"/>
          <w:right w:val="nil"/>
          <w:insideH w:val="nil"/>
          <w:insideV w:val="nil"/>
        </w:tcBorders>
        <w:shd w:val="clear" w:color="auto" w:fill="628D00" w:themeFill="accent2" w:themeFillShade="BF"/>
      </w:tcPr>
    </w:tblStylePr>
    <w:tblStylePr w:type="band1Horz">
      <w:tblPr/>
      <w:tcPr>
        <w:tcBorders>
          <w:top w:val="nil"/>
          <w:left w:val="nil"/>
          <w:bottom w:val="nil"/>
          <w:right w:val="nil"/>
          <w:insideH w:val="nil"/>
          <w:insideV w:val="nil"/>
        </w:tcBorders>
        <w:shd w:val="clear" w:color="auto" w:fill="628D00" w:themeFill="accent2" w:themeFillShade="BF"/>
      </w:tcPr>
    </w:tblStylePr>
  </w:style>
  <w:style w:type="table" w:styleId="DarkList-Accent3">
    <w:name w:val="Dark List Accent 3"/>
    <w:basedOn w:val="TableNormal"/>
    <w:uiPriority w:val="70"/>
    <w:semiHidden/>
    <w:unhideWhenUsed/>
    <w:rsid w:val="009E6ED7"/>
    <w:rPr>
      <w:color w:val="FFFFFF" w:themeColor="background1"/>
    </w:rPr>
    <w:tblPr>
      <w:tblStyleRowBandSize w:val="1"/>
      <w:tblStyleColBandSize w:val="1"/>
    </w:tblPr>
    <w:tcPr>
      <w:shd w:val="clear" w:color="auto" w:fill="F68B1F"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44505"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C76808"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C76808" w:themeFill="accent3" w:themeFillShade="BF"/>
      </w:tcPr>
    </w:tblStylePr>
    <w:tblStylePr w:type="band1Vert">
      <w:tblPr/>
      <w:tcPr>
        <w:tcBorders>
          <w:top w:val="nil"/>
          <w:left w:val="nil"/>
          <w:bottom w:val="nil"/>
          <w:right w:val="nil"/>
          <w:insideH w:val="nil"/>
          <w:insideV w:val="nil"/>
        </w:tcBorders>
        <w:shd w:val="clear" w:color="auto" w:fill="C76808" w:themeFill="accent3" w:themeFillShade="BF"/>
      </w:tcPr>
    </w:tblStylePr>
    <w:tblStylePr w:type="band1Horz">
      <w:tblPr/>
      <w:tcPr>
        <w:tcBorders>
          <w:top w:val="nil"/>
          <w:left w:val="nil"/>
          <w:bottom w:val="nil"/>
          <w:right w:val="nil"/>
          <w:insideH w:val="nil"/>
          <w:insideV w:val="nil"/>
        </w:tcBorders>
        <w:shd w:val="clear" w:color="auto" w:fill="C76808" w:themeFill="accent3" w:themeFillShade="BF"/>
      </w:tcPr>
    </w:tblStylePr>
  </w:style>
  <w:style w:type="table" w:styleId="DarkList-Accent4">
    <w:name w:val="Dark List Accent 4"/>
    <w:basedOn w:val="TableNormal"/>
    <w:uiPriority w:val="70"/>
    <w:semiHidden/>
    <w:unhideWhenUsed/>
    <w:rsid w:val="009E6ED7"/>
    <w:rPr>
      <w:color w:val="FFFFFF" w:themeColor="background1"/>
    </w:rPr>
    <w:tblPr>
      <w:tblStyleRowBandSize w:val="1"/>
      <w:tblStyleColBandSize w:val="1"/>
    </w:tblPr>
    <w:tcPr>
      <w:shd w:val="clear" w:color="auto" w:fill="9E007E"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003E"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76005E"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76005E" w:themeFill="accent4" w:themeFillShade="BF"/>
      </w:tcPr>
    </w:tblStylePr>
    <w:tblStylePr w:type="band1Vert">
      <w:tblPr/>
      <w:tcPr>
        <w:tcBorders>
          <w:top w:val="nil"/>
          <w:left w:val="nil"/>
          <w:bottom w:val="nil"/>
          <w:right w:val="nil"/>
          <w:insideH w:val="nil"/>
          <w:insideV w:val="nil"/>
        </w:tcBorders>
        <w:shd w:val="clear" w:color="auto" w:fill="76005E" w:themeFill="accent4" w:themeFillShade="BF"/>
      </w:tcPr>
    </w:tblStylePr>
    <w:tblStylePr w:type="band1Horz">
      <w:tblPr/>
      <w:tcPr>
        <w:tcBorders>
          <w:top w:val="nil"/>
          <w:left w:val="nil"/>
          <w:bottom w:val="nil"/>
          <w:right w:val="nil"/>
          <w:insideH w:val="nil"/>
          <w:insideV w:val="nil"/>
        </w:tcBorders>
        <w:shd w:val="clear" w:color="auto" w:fill="76005E" w:themeFill="accent4" w:themeFillShade="BF"/>
      </w:tcPr>
    </w:tblStylePr>
  </w:style>
  <w:style w:type="table" w:styleId="DarkList-Accent5">
    <w:name w:val="Dark List Accent 5"/>
    <w:basedOn w:val="TableNormal"/>
    <w:uiPriority w:val="70"/>
    <w:semiHidden/>
    <w:unhideWhenUsed/>
    <w:rsid w:val="009E6ED7"/>
    <w:rPr>
      <w:color w:val="FFFFFF" w:themeColor="background1"/>
    </w:rPr>
    <w:tblPr>
      <w:tblStyleRowBandSize w:val="1"/>
      <w:tblStyleColBandSize w:val="1"/>
    </w:tblPr>
    <w:tcPr>
      <w:shd w:val="clear" w:color="auto" w:fill="FFE512"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77800"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CCB500"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CCB500" w:themeFill="accent5" w:themeFillShade="BF"/>
      </w:tcPr>
    </w:tblStylePr>
    <w:tblStylePr w:type="band1Vert">
      <w:tblPr/>
      <w:tcPr>
        <w:tcBorders>
          <w:top w:val="nil"/>
          <w:left w:val="nil"/>
          <w:bottom w:val="nil"/>
          <w:right w:val="nil"/>
          <w:insideH w:val="nil"/>
          <w:insideV w:val="nil"/>
        </w:tcBorders>
        <w:shd w:val="clear" w:color="auto" w:fill="CCB500" w:themeFill="accent5" w:themeFillShade="BF"/>
      </w:tcPr>
    </w:tblStylePr>
    <w:tblStylePr w:type="band1Horz">
      <w:tblPr/>
      <w:tcPr>
        <w:tcBorders>
          <w:top w:val="nil"/>
          <w:left w:val="nil"/>
          <w:bottom w:val="nil"/>
          <w:right w:val="nil"/>
          <w:insideH w:val="nil"/>
          <w:insideV w:val="nil"/>
        </w:tcBorders>
        <w:shd w:val="clear" w:color="auto" w:fill="CCB500" w:themeFill="accent5" w:themeFillShade="BF"/>
      </w:tcPr>
    </w:tblStylePr>
  </w:style>
  <w:style w:type="table" w:styleId="DarkList-Accent6">
    <w:name w:val="Dark List Accent 6"/>
    <w:basedOn w:val="TableNormal"/>
    <w:uiPriority w:val="70"/>
    <w:semiHidden/>
    <w:unhideWhenUsed/>
    <w:rsid w:val="009E6ED7"/>
    <w:rPr>
      <w:color w:val="FFFFFF" w:themeColor="background1"/>
    </w:rPr>
    <w:tblPr>
      <w:tblStyleRowBandSize w:val="1"/>
      <w:tblStyleColBandSize w:val="1"/>
    </w:tblPr>
    <w:tcPr>
      <w:shd w:val="clear" w:color="auto" w:fill="8C8279"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5403C"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69615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69615A" w:themeFill="accent6" w:themeFillShade="BF"/>
      </w:tcPr>
    </w:tblStylePr>
    <w:tblStylePr w:type="band1Vert">
      <w:tblPr/>
      <w:tcPr>
        <w:tcBorders>
          <w:top w:val="nil"/>
          <w:left w:val="nil"/>
          <w:bottom w:val="nil"/>
          <w:right w:val="nil"/>
          <w:insideH w:val="nil"/>
          <w:insideV w:val="nil"/>
        </w:tcBorders>
        <w:shd w:val="clear" w:color="auto" w:fill="69615A" w:themeFill="accent6" w:themeFillShade="BF"/>
      </w:tcPr>
    </w:tblStylePr>
    <w:tblStylePr w:type="band1Horz">
      <w:tblPr/>
      <w:tcPr>
        <w:tcBorders>
          <w:top w:val="nil"/>
          <w:left w:val="nil"/>
          <w:bottom w:val="nil"/>
          <w:right w:val="nil"/>
          <w:insideH w:val="nil"/>
          <w:insideV w:val="nil"/>
        </w:tcBorders>
        <w:shd w:val="clear" w:color="auto" w:fill="69615A" w:themeFill="accent6" w:themeFillShade="BF"/>
      </w:tcPr>
    </w:tblStylePr>
  </w:style>
  <w:style w:type="table" w:styleId="LightGrid">
    <w:name w:val="Light Grid"/>
    <w:basedOn w:val="TableNormal"/>
    <w:uiPriority w:val="62"/>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18" w:space="0" w:color="00B5E2" w:themeColor="accent1"/>
          <w:right w:val="single" w:sz="8" w:space="0" w:color="00B5E2" w:themeColor="accent1"/>
          <w:insideH w:val="nil"/>
          <w:insideV w:val="single" w:sz="8" w:space="0" w:color="00B5E2"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insideH w:val="nil"/>
          <w:insideV w:val="single" w:sz="8" w:space="0" w:color="00B5E2"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shd w:val="clear" w:color="auto" w:fill="B8F0FF" w:themeFill="accent1" w:themeFillTint="3F"/>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shd w:val="clear" w:color="auto" w:fill="B8F0FF" w:themeFill="accent1" w:themeFillTint="3F"/>
      </w:tcPr>
    </w:tblStylePr>
    <w:tblStylePr w:type="band2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tcPr>
    </w:tblStylePr>
  </w:style>
  <w:style w:type="table" w:styleId="LightGrid-Accent2">
    <w:name w:val="Light Grid Accent 2"/>
    <w:basedOn w:val="TableNormal"/>
    <w:uiPriority w:val="62"/>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18" w:space="0" w:color="84BD00" w:themeColor="accent2"/>
          <w:right w:val="single" w:sz="8" w:space="0" w:color="84BD00" w:themeColor="accent2"/>
          <w:insideH w:val="nil"/>
          <w:insideV w:val="single" w:sz="8" w:space="0" w:color="84BD00"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insideH w:val="nil"/>
          <w:insideV w:val="single" w:sz="8" w:space="0" w:color="84BD00"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shd w:val="clear" w:color="auto" w:fill="E7FFAF" w:themeFill="accent2" w:themeFillTint="3F"/>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shd w:val="clear" w:color="auto" w:fill="E7FFAF" w:themeFill="accent2" w:themeFillTint="3F"/>
      </w:tcPr>
    </w:tblStylePr>
    <w:tblStylePr w:type="band2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tcPr>
    </w:tblStylePr>
  </w:style>
  <w:style w:type="table" w:styleId="LightGrid-Accent3">
    <w:name w:val="Light Grid Accent 3"/>
    <w:basedOn w:val="TableNormal"/>
    <w:uiPriority w:val="62"/>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18" w:space="0" w:color="F68B1F" w:themeColor="accent3"/>
          <w:right w:val="single" w:sz="8" w:space="0" w:color="F68B1F" w:themeColor="accent3"/>
          <w:insideH w:val="nil"/>
          <w:insideV w:val="single" w:sz="8" w:space="0" w:color="F68B1F"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insideH w:val="nil"/>
          <w:insideV w:val="single" w:sz="8" w:space="0" w:color="F68B1F"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shd w:val="clear" w:color="auto" w:fill="FCE2C7" w:themeFill="accent3" w:themeFillTint="3F"/>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shd w:val="clear" w:color="auto" w:fill="FCE2C7" w:themeFill="accent3" w:themeFillTint="3F"/>
      </w:tcPr>
    </w:tblStylePr>
    <w:tblStylePr w:type="band2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tcPr>
    </w:tblStylePr>
  </w:style>
  <w:style w:type="table" w:styleId="LightGrid-Accent4">
    <w:name w:val="Light Grid Accent 4"/>
    <w:basedOn w:val="TableNormal"/>
    <w:uiPriority w:val="62"/>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18" w:space="0" w:color="9E007E" w:themeColor="accent4"/>
          <w:right w:val="single" w:sz="8" w:space="0" w:color="9E007E" w:themeColor="accent4"/>
          <w:insideH w:val="nil"/>
          <w:insideV w:val="single" w:sz="8" w:space="0" w:color="9E007E"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insideH w:val="nil"/>
          <w:insideV w:val="single" w:sz="8" w:space="0" w:color="9E007E"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shd w:val="clear" w:color="auto" w:fill="FFA8ED" w:themeFill="accent4" w:themeFillTint="3F"/>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shd w:val="clear" w:color="auto" w:fill="FFA8ED" w:themeFill="accent4" w:themeFillTint="3F"/>
      </w:tcPr>
    </w:tblStylePr>
    <w:tblStylePr w:type="band2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tcPr>
    </w:tblStylePr>
  </w:style>
  <w:style w:type="table" w:styleId="LightGrid-Accent5">
    <w:name w:val="Light Grid Accent 5"/>
    <w:basedOn w:val="TableNormal"/>
    <w:uiPriority w:val="62"/>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18" w:space="0" w:color="FFE512" w:themeColor="accent5"/>
          <w:right w:val="single" w:sz="8" w:space="0" w:color="FFE512" w:themeColor="accent5"/>
          <w:insideH w:val="nil"/>
          <w:insideV w:val="single" w:sz="8" w:space="0" w:color="FFE512"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insideH w:val="nil"/>
          <w:insideV w:val="single" w:sz="8" w:space="0" w:color="FFE512"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shd w:val="clear" w:color="auto" w:fill="FFF8C4" w:themeFill="accent5" w:themeFillTint="3F"/>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shd w:val="clear" w:color="auto" w:fill="FFF8C4" w:themeFill="accent5" w:themeFillTint="3F"/>
      </w:tcPr>
    </w:tblStylePr>
    <w:tblStylePr w:type="band2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tcPr>
    </w:tblStylePr>
  </w:style>
  <w:style w:type="table" w:styleId="LightGrid-Accent6">
    <w:name w:val="Light Grid Accent 6"/>
    <w:basedOn w:val="TableNormal"/>
    <w:uiPriority w:val="62"/>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18" w:space="0" w:color="8C8279" w:themeColor="accent6"/>
          <w:right w:val="single" w:sz="8" w:space="0" w:color="8C8279" w:themeColor="accent6"/>
          <w:insideH w:val="nil"/>
          <w:insideV w:val="single" w:sz="8" w:space="0" w:color="8C8279"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insideH w:val="nil"/>
          <w:insideV w:val="single" w:sz="8" w:space="0" w:color="8C8279"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shd w:val="clear" w:color="auto" w:fill="E2E0DD" w:themeFill="accent6" w:themeFillTint="3F"/>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shd w:val="clear" w:color="auto" w:fill="E2E0DD" w:themeFill="accent6" w:themeFillTint="3F"/>
      </w:tcPr>
    </w:tblStylePr>
    <w:tblStylePr w:type="band2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tcPr>
    </w:tblStylePr>
  </w:style>
  <w:style w:type="table" w:styleId="LightList">
    <w:name w:val="Light List"/>
    <w:basedOn w:val="TableNormal"/>
    <w:uiPriority w:val="61"/>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pPr>
        <w:spacing w:before="0" w:after="0" w:line="240" w:lineRule="auto"/>
      </w:pPr>
      <w:rPr>
        <w:b/>
        <w:bCs/>
        <w:color w:val="FFFFFF" w:themeColor="background1"/>
      </w:rPr>
      <w:tblPr/>
      <w:tcPr>
        <w:shd w:val="clear" w:color="auto" w:fill="00B5E2" w:themeFill="accent1"/>
      </w:tcPr>
    </w:tblStylePr>
    <w:tblStylePr w:type="lastRow">
      <w:pPr>
        <w:spacing w:before="0" w:after="0" w:line="240" w:lineRule="auto"/>
      </w:pPr>
      <w:rPr>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tcBorders>
      </w:tcPr>
    </w:tblStylePr>
    <w:tblStylePr w:type="firstCol">
      <w:rPr>
        <w:b/>
        <w:bCs/>
      </w:rPr>
    </w:tblStylePr>
    <w:tblStylePr w:type="lastCol">
      <w:rPr>
        <w:b/>
        <w:bCs/>
      </w:r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style>
  <w:style w:type="table" w:styleId="LightList-Accent2">
    <w:name w:val="Light List Accent 2"/>
    <w:basedOn w:val="TableNormal"/>
    <w:uiPriority w:val="61"/>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pPr>
        <w:spacing w:before="0" w:after="0" w:line="240" w:lineRule="auto"/>
      </w:pPr>
      <w:rPr>
        <w:b/>
        <w:bCs/>
        <w:color w:val="FFFFFF" w:themeColor="background1"/>
      </w:rPr>
      <w:tblPr/>
      <w:tcPr>
        <w:shd w:val="clear" w:color="auto" w:fill="84BD00" w:themeFill="accent2"/>
      </w:tcPr>
    </w:tblStylePr>
    <w:tblStylePr w:type="lastRow">
      <w:pPr>
        <w:spacing w:before="0" w:after="0" w:line="240" w:lineRule="auto"/>
      </w:pPr>
      <w:rPr>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tcBorders>
      </w:tcPr>
    </w:tblStylePr>
    <w:tblStylePr w:type="firstCol">
      <w:rPr>
        <w:b/>
        <w:bCs/>
      </w:rPr>
    </w:tblStylePr>
    <w:tblStylePr w:type="lastCol">
      <w:rPr>
        <w:b/>
        <w:bCs/>
      </w:r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style>
  <w:style w:type="table" w:styleId="LightList-Accent3">
    <w:name w:val="Light List Accent 3"/>
    <w:basedOn w:val="TableNormal"/>
    <w:uiPriority w:val="61"/>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pPr>
        <w:spacing w:before="0" w:after="0" w:line="240" w:lineRule="auto"/>
      </w:pPr>
      <w:rPr>
        <w:b/>
        <w:bCs/>
        <w:color w:val="FFFFFF" w:themeColor="background1"/>
      </w:rPr>
      <w:tblPr/>
      <w:tcPr>
        <w:shd w:val="clear" w:color="auto" w:fill="F68B1F" w:themeFill="accent3"/>
      </w:tcPr>
    </w:tblStylePr>
    <w:tblStylePr w:type="lastRow">
      <w:pPr>
        <w:spacing w:before="0" w:after="0" w:line="240" w:lineRule="auto"/>
      </w:pPr>
      <w:rPr>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tcBorders>
      </w:tcPr>
    </w:tblStylePr>
    <w:tblStylePr w:type="firstCol">
      <w:rPr>
        <w:b/>
        <w:bCs/>
      </w:rPr>
    </w:tblStylePr>
    <w:tblStylePr w:type="lastCol">
      <w:rPr>
        <w:b/>
        <w:bCs/>
      </w:r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style>
  <w:style w:type="table" w:styleId="LightList-Accent4">
    <w:name w:val="Light List Accent 4"/>
    <w:basedOn w:val="TableNormal"/>
    <w:uiPriority w:val="61"/>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pPr>
        <w:spacing w:before="0" w:after="0" w:line="240" w:lineRule="auto"/>
      </w:pPr>
      <w:rPr>
        <w:b/>
        <w:bCs/>
        <w:color w:val="FFFFFF" w:themeColor="background1"/>
      </w:rPr>
      <w:tblPr/>
      <w:tcPr>
        <w:shd w:val="clear" w:color="auto" w:fill="9E007E" w:themeFill="accent4"/>
      </w:tcPr>
    </w:tblStylePr>
    <w:tblStylePr w:type="lastRow">
      <w:pPr>
        <w:spacing w:before="0" w:after="0" w:line="240" w:lineRule="auto"/>
      </w:pPr>
      <w:rPr>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tcBorders>
      </w:tcPr>
    </w:tblStylePr>
    <w:tblStylePr w:type="firstCol">
      <w:rPr>
        <w:b/>
        <w:bCs/>
      </w:rPr>
    </w:tblStylePr>
    <w:tblStylePr w:type="lastCol">
      <w:rPr>
        <w:b/>
        <w:bCs/>
      </w:r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style>
  <w:style w:type="table" w:styleId="LightList-Accent5">
    <w:name w:val="Light List Accent 5"/>
    <w:basedOn w:val="TableNormal"/>
    <w:uiPriority w:val="61"/>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pPr>
        <w:spacing w:before="0" w:after="0" w:line="240" w:lineRule="auto"/>
      </w:pPr>
      <w:rPr>
        <w:b/>
        <w:bCs/>
        <w:color w:val="FFFFFF" w:themeColor="background1"/>
      </w:rPr>
      <w:tblPr/>
      <w:tcPr>
        <w:shd w:val="clear" w:color="auto" w:fill="FFE512" w:themeFill="accent5"/>
      </w:tcPr>
    </w:tblStylePr>
    <w:tblStylePr w:type="lastRow">
      <w:pPr>
        <w:spacing w:before="0" w:after="0" w:line="240" w:lineRule="auto"/>
      </w:pPr>
      <w:rPr>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tcBorders>
      </w:tcPr>
    </w:tblStylePr>
    <w:tblStylePr w:type="firstCol">
      <w:rPr>
        <w:b/>
        <w:bCs/>
      </w:rPr>
    </w:tblStylePr>
    <w:tblStylePr w:type="lastCol">
      <w:rPr>
        <w:b/>
        <w:bCs/>
      </w:r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style>
  <w:style w:type="table" w:styleId="LightList-Accent6">
    <w:name w:val="Light List Accent 6"/>
    <w:basedOn w:val="TableNormal"/>
    <w:uiPriority w:val="61"/>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pPr>
        <w:spacing w:before="0" w:after="0" w:line="240" w:lineRule="auto"/>
      </w:pPr>
      <w:rPr>
        <w:b/>
        <w:bCs/>
        <w:color w:val="FFFFFF" w:themeColor="background1"/>
      </w:rPr>
      <w:tblPr/>
      <w:tcPr>
        <w:shd w:val="clear" w:color="auto" w:fill="8C8279" w:themeFill="accent6"/>
      </w:tcPr>
    </w:tblStylePr>
    <w:tblStylePr w:type="lastRow">
      <w:pPr>
        <w:spacing w:before="0" w:after="0" w:line="240" w:lineRule="auto"/>
      </w:pPr>
      <w:rPr>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tcBorders>
      </w:tcPr>
    </w:tblStylePr>
    <w:tblStylePr w:type="firstCol">
      <w:rPr>
        <w:b/>
        <w:bCs/>
      </w:rPr>
    </w:tblStylePr>
    <w:tblStylePr w:type="lastCol">
      <w:rPr>
        <w:b/>
        <w:bCs/>
      </w:r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style>
  <w:style w:type="table" w:styleId="LightShading">
    <w:name w:val="Light Shading"/>
    <w:basedOn w:val="TableNormal"/>
    <w:uiPriority w:val="60"/>
    <w:semiHidden/>
    <w:unhideWhenUsed/>
    <w:rsid w:val="009E6ED7"/>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9E6ED7"/>
    <w:rPr>
      <w:color w:val="0087A9" w:themeColor="accent1" w:themeShade="BF"/>
    </w:rPr>
    <w:tblPr>
      <w:tblStyleRowBandSize w:val="1"/>
      <w:tblStyleColBandSize w:val="1"/>
      <w:tblBorders>
        <w:top w:val="single" w:sz="8" w:space="0" w:color="00B5E2" w:themeColor="accent1"/>
        <w:bottom w:val="single" w:sz="8" w:space="0" w:color="00B5E2" w:themeColor="accent1"/>
      </w:tblBorders>
    </w:tblPr>
    <w:tblStylePr w:type="fir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la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left w:val="nil"/>
          <w:right w:val="nil"/>
          <w:insideH w:val="nil"/>
          <w:insideV w:val="nil"/>
        </w:tcBorders>
        <w:shd w:val="clear" w:color="auto" w:fill="B8F0FF" w:themeFill="accent1" w:themeFillTint="3F"/>
      </w:tcPr>
    </w:tblStylePr>
  </w:style>
  <w:style w:type="table" w:styleId="LightShading-Accent2">
    <w:name w:val="Light Shading Accent 2"/>
    <w:basedOn w:val="TableNormal"/>
    <w:uiPriority w:val="60"/>
    <w:semiHidden/>
    <w:unhideWhenUsed/>
    <w:rsid w:val="009E6ED7"/>
    <w:rPr>
      <w:color w:val="628D00" w:themeColor="accent2" w:themeShade="BF"/>
    </w:rPr>
    <w:tblPr>
      <w:tblStyleRowBandSize w:val="1"/>
      <w:tblStyleColBandSize w:val="1"/>
      <w:tblBorders>
        <w:top w:val="single" w:sz="8" w:space="0" w:color="84BD00" w:themeColor="accent2"/>
        <w:bottom w:val="single" w:sz="8" w:space="0" w:color="84BD00" w:themeColor="accent2"/>
      </w:tblBorders>
    </w:tblPr>
    <w:tblStylePr w:type="fir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la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left w:val="nil"/>
          <w:right w:val="nil"/>
          <w:insideH w:val="nil"/>
          <w:insideV w:val="nil"/>
        </w:tcBorders>
        <w:shd w:val="clear" w:color="auto" w:fill="E7FFAF" w:themeFill="accent2" w:themeFillTint="3F"/>
      </w:tcPr>
    </w:tblStylePr>
  </w:style>
  <w:style w:type="table" w:styleId="LightShading-Accent3">
    <w:name w:val="Light Shading Accent 3"/>
    <w:basedOn w:val="TableNormal"/>
    <w:uiPriority w:val="60"/>
    <w:semiHidden/>
    <w:unhideWhenUsed/>
    <w:rsid w:val="009E6ED7"/>
    <w:rPr>
      <w:color w:val="C76808" w:themeColor="accent3" w:themeShade="BF"/>
    </w:rPr>
    <w:tblPr>
      <w:tblStyleRowBandSize w:val="1"/>
      <w:tblStyleColBandSize w:val="1"/>
      <w:tblBorders>
        <w:top w:val="single" w:sz="8" w:space="0" w:color="F68B1F" w:themeColor="accent3"/>
        <w:bottom w:val="single" w:sz="8" w:space="0" w:color="F68B1F" w:themeColor="accent3"/>
      </w:tblBorders>
    </w:tblPr>
    <w:tblStylePr w:type="fir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la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left w:val="nil"/>
          <w:right w:val="nil"/>
          <w:insideH w:val="nil"/>
          <w:insideV w:val="nil"/>
        </w:tcBorders>
        <w:shd w:val="clear" w:color="auto" w:fill="FCE2C7" w:themeFill="accent3" w:themeFillTint="3F"/>
      </w:tcPr>
    </w:tblStylePr>
  </w:style>
  <w:style w:type="table" w:styleId="LightShading-Accent4">
    <w:name w:val="Light Shading Accent 4"/>
    <w:basedOn w:val="TableNormal"/>
    <w:uiPriority w:val="60"/>
    <w:semiHidden/>
    <w:unhideWhenUsed/>
    <w:rsid w:val="009E6ED7"/>
    <w:rPr>
      <w:color w:val="76005E" w:themeColor="accent4" w:themeShade="BF"/>
    </w:rPr>
    <w:tblPr>
      <w:tblStyleRowBandSize w:val="1"/>
      <w:tblStyleColBandSize w:val="1"/>
      <w:tblBorders>
        <w:top w:val="single" w:sz="8" w:space="0" w:color="9E007E" w:themeColor="accent4"/>
        <w:bottom w:val="single" w:sz="8" w:space="0" w:color="9E007E" w:themeColor="accent4"/>
      </w:tblBorders>
    </w:tblPr>
    <w:tblStylePr w:type="fir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la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left w:val="nil"/>
          <w:right w:val="nil"/>
          <w:insideH w:val="nil"/>
          <w:insideV w:val="nil"/>
        </w:tcBorders>
        <w:shd w:val="clear" w:color="auto" w:fill="FFA8ED" w:themeFill="accent4" w:themeFillTint="3F"/>
      </w:tcPr>
    </w:tblStylePr>
  </w:style>
  <w:style w:type="table" w:styleId="LightShading-Accent5">
    <w:name w:val="Light Shading Accent 5"/>
    <w:basedOn w:val="TableNormal"/>
    <w:uiPriority w:val="60"/>
    <w:semiHidden/>
    <w:unhideWhenUsed/>
    <w:rsid w:val="009E6ED7"/>
    <w:rPr>
      <w:color w:val="CCB500" w:themeColor="accent5" w:themeShade="BF"/>
    </w:rPr>
    <w:tblPr>
      <w:tblStyleRowBandSize w:val="1"/>
      <w:tblStyleColBandSize w:val="1"/>
      <w:tblBorders>
        <w:top w:val="single" w:sz="8" w:space="0" w:color="FFE512" w:themeColor="accent5"/>
        <w:bottom w:val="single" w:sz="8" w:space="0" w:color="FFE512" w:themeColor="accent5"/>
      </w:tblBorders>
    </w:tblPr>
    <w:tblStylePr w:type="fir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la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left w:val="nil"/>
          <w:right w:val="nil"/>
          <w:insideH w:val="nil"/>
          <w:insideV w:val="nil"/>
        </w:tcBorders>
        <w:shd w:val="clear" w:color="auto" w:fill="FFF8C4" w:themeFill="accent5" w:themeFillTint="3F"/>
      </w:tcPr>
    </w:tblStylePr>
  </w:style>
  <w:style w:type="table" w:styleId="LightShading-Accent6">
    <w:name w:val="Light Shading Accent 6"/>
    <w:basedOn w:val="TableNormal"/>
    <w:uiPriority w:val="60"/>
    <w:semiHidden/>
    <w:unhideWhenUsed/>
    <w:rsid w:val="009E6ED7"/>
    <w:rPr>
      <w:color w:val="69615A" w:themeColor="accent6" w:themeShade="BF"/>
    </w:rPr>
    <w:tblPr>
      <w:tblStyleRowBandSize w:val="1"/>
      <w:tblStyleColBandSize w:val="1"/>
      <w:tblBorders>
        <w:top w:val="single" w:sz="8" w:space="0" w:color="8C8279" w:themeColor="accent6"/>
        <w:bottom w:val="single" w:sz="8" w:space="0" w:color="8C8279" w:themeColor="accent6"/>
      </w:tblBorders>
    </w:tblPr>
    <w:tblStylePr w:type="fir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la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left w:val="nil"/>
          <w:right w:val="nil"/>
          <w:insideH w:val="nil"/>
          <w:insideV w:val="nil"/>
        </w:tcBorders>
        <w:shd w:val="clear" w:color="auto" w:fill="E2E0DD" w:themeFill="accent6" w:themeFillTint="3F"/>
      </w:tcPr>
    </w:tblStylePr>
  </w:style>
  <w:style w:type="table" w:styleId="MediumGrid1">
    <w:name w:val="Medium Grid 1"/>
    <w:basedOn w:val="TableNormal"/>
    <w:uiPriority w:val="67"/>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insideV w:val="single" w:sz="8" w:space="0" w:color="2AD4FF" w:themeColor="accent1" w:themeTint="BF"/>
      </w:tblBorders>
    </w:tblPr>
    <w:tcPr>
      <w:shd w:val="clear" w:color="auto" w:fill="B8F0FF" w:themeFill="accent1" w:themeFillTint="3F"/>
    </w:tcPr>
    <w:tblStylePr w:type="firstRow">
      <w:rPr>
        <w:b/>
        <w:bCs/>
      </w:rPr>
    </w:tblStylePr>
    <w:tblStylePr w:type="lastRow">
      <w:rPr>
        <w:b/>
        <w:bCs/>
      </w:rPr>
      <w:tblPr/>
      <w:tcPr>
        <w:tcBorders>
          <w:top w:val="single" w:sz="18" w:space="0" w:color="2AD4FF" w:themeColor="accent1" w:themeTint="BF"/>
        </w:tcBorders>
      </w:tcPr>
    </w:tblStylePr>
    <w:tblStylePr w:type="firstCol">
      <w:rPr>
        <w:b/>
        <w:bCs/>
      </w:rPr>
    </w:tblStylePr>
    <w:tblStylePr w:type="lastCol">
      <w:rPr>
        <w:b/>
        <w:bCs/>
      </w:r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MediumGrid1-Accent2">
    <w:name w:val="Medium Grid 1 Accent 2"/>
    <w:basedOn w:val="TableNormal"/>
    <w:uiPriority w:val="67"/>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insideV w:val="single" w:sz="8" w:space="0" w:color="B6FF0E" w:themeColor="accent2" w:themeTint="BF"/>
      </w:tblBorders>
    </w:tblPr>
    <w:tcPr>
      <w:shd w:val="clear" w:color="auto" w:fill="E7FFAF" w:themeFill="accent2" w:themeFillTint="3F"/>
    </w:tcPr>
    <w:tblStylePr w:type="firstRow">
      <w:rPr>
        <w:b/>
        <w:bCs/>
      </w:rPr>
    </w:tblStylePr>
    <w:tblStylePr w:type="lastRow">
      <w:rPr>
        <w:b/>
        <w:bCs/>
      </w:rPr>
      <w:tblPr/>
      <w:tcPr>
        <w:tcBorders>
          <w:top w:val="single" w:sz="18" w:space="0" w:color="B6FF0E" w:themeColor="accent2" w:themeTint="BF"/>
        </w:tcBorders>
      </w:tcPr>
    </w:tblStylePr>
    <w:tblStylePr w:type="firstCol">
      <w:rPr>
        <w:b/>
        <w:bCs/>
      </w:rPr>
    </w:tblStylePr>
    <w:tblStylePr w:type="lastCol">
      <w:rPr>
        <w:b/>
        <w:bCs/>
      </w:r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MediumGrid1-Accent3">
    <w:name w:val="Medium Grid 1 Accent 3"/>
    <w:basedOn w:val="TableNormal"/>
    <w:uiPriority w:val="67"/>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insideV w:val="single" w:sz="8" w:space="0" w:color="F8A757" w:themeColor="accent3" w:themeTint="BF"/>
      </w:tblBorders>
    </w:tblPr>
    <w:tcPr>
      <w:shd w:val="clear" w:color="auto" w:fill="FCE2C7" w:themeFill="accent3" w:themeFillTint="3F"/>
    </w:tcPr>
    <w:tblStylePr w:type="firstRow">
      <w:rPr>
        <w:b/>
        <w:bCs/>
      </w:rPr>
    </w:tblStylePr>
    <w:tblStylePr w:type="lastRow">
      <w:rPr>
        <w:b/>
        <w:bCs/>
      </w:rPr>
      <w:tblPr/>
      <w:tcPr>
        <w:tcBorders>
          <w:top w:val="single" w:sz="18" w:space="0" w:color="F8A757" w:themeColor="accent3" w:themeTint="BF"/>
        </w:tcBorders>
      </w:tcPr>
    </w:tblStylePr>
    <w:tblStylePr w:type="firstCol">
      <w:rPr>
        <w:b/>
        <w:bCs/>
      </w:rPr>
    </w:tblStylePr>
    <w:tblStylePr w:type="lastCol">
      <w:rPr>
        <w:b/>
        <w:bCs/>
      </w:r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MediumGrid1-Accent4">
    <w:name w:val="Medium Grid 1 Accent 4"/>
    <w:basedOn w:val="TableNormal"/>
    <w:uiPriority w:val="67"/>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insideV w:val="single" w:sz="8" w:space="0" w:color="F600C4" w:themeColor="accent4" w:themeTint="BF"/>
      </w:tblBorders>
    </w:tblPr>
    <w:tcPr>
      <w:shd w:val="clear" w:color="auto" w:fill="FFA8ED" w:themeFill="accent4" w:themeFillTint="3F"/>
    </w:tcPr>
    <w:tblStylePr w:type="firstRow">
      <w:rPr>
        <w:b/>
        <w:bCs/>
      </w:rPr>
    </w:tblStylePr>
    <w:tblStylePr w:type="lastRow">
      <w:rPr>
        <w:b/>
        <w:bCs/>
      </w:rPr>
      <w:tblPr/>
      <w:tcPr>
        <w:tcBorders>
          <w:top w:val="single" w:sz="18" w:space="0" w:color="F600C4" w:themeColor="accent4" w:themeTint="BF"/>
        </w:tcBorders>
      </w:tcPr>
    </w:tblStylePr>
    <w:tblStylePr w:type="firstCol">
      <w:rPr>
        <w:b/>
        <w:bCs/>
      </w:rPr>
    </w:tblStylePr>
    <w:tblStylePr w:type="lastCol">
      <w:rPr>
        <w:b/>
        <w:bCs/>
      </w:r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MediumGrid1-Accent5">
    <w:name w:val="Medium Grid 1 Accent 5"/>
    <w:basedOn w:val="TableNormal"/>
    <w:uiPriority w:val="67"/>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insideV w:val="single" w:sz="8" w:space="0" w:color="FFEB4D" w:themeColor="accent5" w:themeTint="BF"/>
      </w:tblBorders>
    </w:tblPr>
    <w:tcPr>
      <w:shd w:val="clear" w:color="auto" w:fill="FFF8C4" w:themeFill="accent5" w:themeFillTint="3F"/>
    </w:tcPr>
    <w:tblStylePr w:type="firstRow">
      <w:rPr>
        <w:b/>
        <w:bCs/>
      </w:rPr>
    </w:tblStylePr>
    <w:tblStylePr w:type="lastRow">
      <w:rPr>
        <w:b/>
        <w:bCs/>
      </w:rPr>
      <w:tblPr/>
      <w:tcPr>
        <w:tcBorders>
          <w:top w:val="single" w:sz="18" w:space="0" w:color="FFEB4D" w:themeColor="accent5" w:themeTint="BF"/>
        </w:tcBorders>
      </w:tcPr>
    </w:tblStylePr>
    <w:tblStylePr w:type="firstCol">
      <w:rPr>
        <w:b/>
        <w:bCs/>
      </w:rPr>
    </w:tblStylePr>
    <w:tblStylePr w:type="lastCol">
      <w:rPr>
        <w:b/>
        <w:bCs/>
      </w:r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MediumGrid1-Accent6">
    <w:name w:val="Medium Grid 1 Accent 6"/>
    <w:basedOn w:val="TableNormal"/>
    <w:uiPriority w:val="67"/>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insideV w:val="single" w:sz="8" w:space="0" w:color="A8A19A" w:themeColor="accent6" w:themeTint="BF"/>
      </w:tblBorders>
    </w:tblPr>
    <w:tcPr>
      <w:shd w:val="clear" w:color="auto" w:fill="E2E0DD" w:themeFill="accent6" w:themeFillTint="3F"/>
    </w:tcPr>
    <w:tblStylePr w:type="firstRow">
      <w:rPr>
        <w:b/>
        <w:bCs/>
      </w:rPr>
    </w:tblStylePr>
    <w:tblStylePr w:type="lastRow">
      <w:rPr>
        <w:b/>
        <w:bCs/>
      </w:rPr>
      <w:tblPr/>
      <w:tcPr>
        <w:tcBorders>
          <w:top w:val="single" w:sz="18" w:space="0" w:color="A8A19A" w:themeColor="accent6" w:themeTint="BF"/>
        </w:tcBorders>
      </w:tcPr>
    </w:tblStylePr>
    <w:tblStylePr w:type="firstCol">
      <w:rPr>
        <w:b/>
        <w:bCs/>
      </w:rPr>
    </w:tblStylePr>
    <w:tblStylePr w:type="lastCol">
      <w:rPr>
        <w:b/>
        <w:bCs/>
      </w:r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MediumGrid2">
    <w:name w:val="Medium Grid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cPr>
      <w:shd w:val="clear" w:color="auto" w:fill="B8F0FF" w:themeFill="accent1" w:themeFillTint="3F"/>
    </w:tcPr>
    <w:tblStylePr w:type="firstRow">
      <w:rPr>
        <w:b/>
        <w:bCs/>
        <w:color w:val="000000" w:themeColor="text1"/>
      </w:rPr>
      <w:tblPr/>
      <w:tcPr>
        <w:shd w:val="clear" w:color="auto" w:fill="E3F9FF"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6F3FF" w:themeFill="accent1" w:themeFillTint="33"/>
      </w:tcPr>
    </w:tblStylePr>
    <w:tblStylePr w:type="band1Vert">
      <w:tblPr/>
      <w:tcPr>
        <w:shd w:val="clear" w:color="auto" w:fill="71E2FF" w:themeFill="accent1" w:themeFillTint="7F"/>
      </w:tcPr>
    </w:tblStylePr>
    <w:tblStylePr w:type="band1Horz">
      <w:tblPr/>
      <w:tcPr>
        <w:tcBorders>
          <w:insideH w:val="single" w:sz="6" w:space="0" w:color="00B5E2" w:themeColor="accent1"/>
          <w:insideV w:val="single" w:sz="6" w:space="0" w:color="00B5E2" w:themeColor="accent1"/>
        </w:tcBorders>
        <w:shd w:val="clear" w:color="auto" w:fill="71E2FF"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cPr>
      <w:shd w:val="clear" w:color="auto" w:fill="E7FFAF" w:themeFill="accent2" w:themeFillTint="3F"/>
    </w:tcPr>
    <w:tblStylePr w:type="firstRow">
      <w:rPr>
        <w:b/>
        <w:bCs/>
        <w:color w:val="000000" w:themeColor="text1"/>
      </w:rPr>
      <w:tblPr/>
      <w:tcPr>
        <w:shd w:val="clear" w:color="auto" w:fill="F5FFDF"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BFFBE" w:themeFill="accent2" w:themeFillTint="33"/>
      </w:tcPr>
    </w:tblStylePr>
    <w:tblStylePr w:type="band1Vert">
      <w:tblPr/>
      <w:tcPr>
        <w:shd w:val="clear" w:color="auto" w:fill="CEFF5F" w:themeFill="accent2" w:themeFillTint="7F"/>
      </w:tcPr>
    </w:tblStylePr>
    <w:tblStylePr w:type="band1Horz">
      <w:tblPr/>
      <w:tcPr>
        <w:tcBorders>
          <w:insideH w:val="single" w:sz="6" w:space="0" w:color="84BD00" w:themeColor="accent2"/>
          <w:insideV w:val="single" w:sz="6" w:space="0" w:color="84BD00" w:themeColor="accent2"/>
        </w:tcBorders>
        <w:shd w:val="clear" w:color="auto" w:fill="CEFF5F"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cPr>
      <w:shd w:val="clear" w:color="auto" w:fill="FCE2C7" w:themeFill="accent3" w:themeFillTint="3F"/>
    </w:tcPr>
    <w:tblStylePr w:type="firstRow">
      <w:rPr>
        <w:b/>
        <w:bCs/>
        <w:color w:val="000000" w:themeColor="text1"/>
      </w:rPr>
      <w:tblPr/>
      <w:tcPr>
        <w:shd w:val="clear" w:color="auto" w:fill="FEF3E8"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7D2" w:themeFill="accent3" w:themeFillTint="33"/>
      </w:tcPr>
    </w:tblStylePr>
    <w:tblStylePr w:type="band1Vert">
      <w:tblPr/>
      <w:tcPr>
        <w:shd w:val="clear" w:color="auto" w:fill="FAC58F" w:themeFill="accent3" w:themeFillTint="7F"/>
      </w:tcPr>
    </w:tblStylePr>
    <w:tblStylePr w:type="band1Horz">
      <w:tblPr/>
      <w:tcPr>
        <w:tcBorders>
          <w:insideH w:val="single" w:sz="6" w:space="0" w:color="F68B1F" w:themeColor="accent3"/>
          <w:insideV w:val="single" w:sz="6" w:space="0" w:color="F68B1F" w:themeColor="accent3"/>
        </w:tcBorders>
        <w:shd w:val="clear" w:color="auto" w:fill="FAC58F"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cPr>
      <w:shd w:val="clear" w:color="auto" w:fill="FFA8ED" w:themeFill="accent4" w:themeFillTint="3F"/>
    </w:tcPr>
    <w:tblStylePr w:type="firstRow">
      <w:rPr>
        <w:b/>
        <w:bCs/>
        <w:color w:val="000000" w:themeColor="text1"/>
      </w:rPr>
      <w:tblPr/>
      <w:tcPr>
        <w:shd w:val="clear" w:color="auto" w:fill="FFDCF7"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B8F0" w:themeFill="accent4" w:themeFillTint="33"/>
      </w:tcPr>
    </w:tblStylePr>
    <w:tblStylePr w:type="band1Vert">
      <w:tblPr/>
      <w:tcPr>
        <w:shd w:val="clear" w:color="auto" w:fill="FF4FDB" w:themeFill="accent4" w:themeFillTint="7F"/>
      </w:tcPr>
    </w:tblStylePr>
    <w:tblStylePr w:type="band1Horz">
      <w:tblPr/>
      <w:tcPr>
        <w:tcBorders>
          <w:insideH w:val="single" w:sz="6" w:space="0" w:color="9E007E" w:themeColor="accent4"/>
          <w:insideV w:val="single" w:sz="6" w:space="0" w:color="9E007E" w:themeColor="accent4"/>
        </w:tcBorders>
        <w:shd w:val="clear" w:color="auto" w:fill="FF4FDB"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cPr>
      <w:shd w:val="clear" w:color="auto" w:fill="FFF8C4" w:themeFill="accent5" w:themeFillTint="3F"/>
    </w:tcPr>
    <w:tblStylePr w:type="firstRow">
      <w:rPr>
        <w:b/>
        <w:bCs/>
        <w:color w:val="000000" w:themeColor="text1"/>
      </w:rPr>
      <w:tblPr/>
      <w:tcPr>
        <w:shd w:val="clear" w:color="auto" w:fill="FFFCE7"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9CF" w:themeFill="accent5" w:themeFillTint="33"/>
      </w:tcPr>
    </w:tblStylePr>
    <w:tblStylePr w:type="band1Vert">
      <w:tblPr/>
      <w:tcPr>
        <w:shd w:val="clear" w:color="auto" w:fill="FFF288" w:themeFill="accent5" w:themeFillTint="7F"/>
      </w:tcPr>
    </w:tblStylePr>
    <w:tblStylePr w:type="band1Horz">
      <w:tblPr/>
      <w:tcPr>
        <w:tcBorders>
          <w:insideH w:val="single" w:sz="6" w:space="0" w:color="FFE512" w:themeColor="accent5"/>
          <w:insideV w:val="single" w:sz="6" w:space="0" w:color="FFE512" w:themeColor="accent5"/>
        </w:tcBorders>
        <w:shd w:val="clear" w:color="auto" w:fill="FFF288"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cPr>
      <w:shd w:val="clear" w:color="auto" w:fill="E2E0DD" w:themeFill="accent6" w:themeFillTint="3F"/>
    </w:tcPr>
    <w:tblStylePr w:type="firstRow">
      <w:rPr>
        <w:b/>
        <w:bCs/>
        <w:color w:val="000000" w:themeColor="text1"/>
      </w:rPr>
      <w:tblPr/>
      <w:tcPr>
        <w:shd w:val="clear" w:color="auto" w:fill="F3F2F1"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8E5E4" w:themeFill="accent6" w:themeFillTint="33"/>
      </w:tcPr>
    </w:tblStylePr>
    <w:tblStylePr w:type="band1Vert">
      <w:tblPr/>
      <w:tcPr>
        <w:shd w:val="clear" w:color="auto" w:fill="C5C0BC" w:themeFill="accent6" w:themeFillTint="7F"/>
      </w:tcPr>
    </w:tblStylePr>
    <w:tblStylePr w:type="band1Horz">
      <w:tblPr/>
      <w:tcPr>
        <w:tcBorders>
          <w:insideH w:val="single" w:sz="6" w:space="0" w:color="8C8279" w:themeColor="accent6"/>
          <w:insideV w:val="single" w:sz="6" w:space="0" w:color="8C8279" w:themeColor="accent6"/>
        </w:tcBorders>
        <w:shd w:val="clear" w:color="auto" w:fill="C5C0BC"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8F0FF"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B5E2"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B5E2"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71E2FF"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71E2FF" w:themeFill="accent1" w:themeFillTint="7F"/>
      </w:tcPr>
    </w:tblStylePr>
  </w:style>
  <w:style w:type="table" w:styleId="MediumGrid3-Accent2">
    <w:name w:val="Medium Grid 3 Accent 2"/>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7FFAF"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4BD00"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4BD00"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EFF5F"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EFF5F" w:themeFill="accent2" w:themeFillTint="7F"/>
      </w:tcPr>
    </w:tblStylePr>
  </w:style>
  <w:style w:type="table" w:styleId="MediumGrid3-Accent3">
    <w:name w:val="Medium Grid 3 Accent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CE2C7"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68B1F"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68B1F"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AC58F"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AC58F" w:themeFill="accent3" w:themeFillTint="7F"/>
      </w:tcPr>
    </w:tblStylePr>
  </w:style>
  <w:style w:type="table" w:styleId="MediumGrid3-Accent4">
    <w:name w:val="Medium Grid 3 Accent 4"/>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A8ED"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E007E"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E007E"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4FDB"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4FDB" w:themeFill="accent4" w:themeFillTint="7F"/>
      </w:tcPr>
    </w:tblStylePr>
  </w:style>
  <w:style w:type="table" w:styleId="MediumGrid3-Accent5">
    <w:name w:val="Medium Grid 3 Accent 5"/>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F8C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E512"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E512"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F288"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F288" w:themeFill="accent5" w:themeFillTint="7F"/>
      </w:tcPr>
    </w:tblStylePr>
  </w:style>
  <w:style w:type="table" w:styleId="MediumGrid3-Accent6">
    <w:name w:val="Medium Grid 3 Accent 6"/>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2E0DD"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C8279"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C8279"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5C0BC"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5C0BC" w:themeFill="accent6" w:themeFillTint="7F"/>
      </w:tcPr>
    </w:tblStylePr>
  </w:style>
  <w:style w:type="table" w:styleId="MediumList1">
    <w:name w:val="Medium List 1"/>
    <w:basedOn w:val="TableNormal"/>
    <w:uiPriority w:val="65"/>
    <w:semiHidden/>
    <w:unhideWhenUsed/>
    <w:rsid w:val="009E6ED7"/>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000000"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9E6ED7"/>
    <w:rPr>
      <w:color w:val="000000" w:themeColor="text1"/>
    </w:rPr>
    <w:tblPr>
      <w:tblStyleRowBandSize w:val="1"/>
      <w:tblStyleColBandSize w:val="1"/>
      <w:tblBorders>
        <w:top w:val="single" w:sz="8" w:space="0" w:color="00B5E2" w:themeColor="accent1"/>
        <w:bottom w:val="single" w:sz="8" w:space="0" w:color="00B5E2" w:themeColor="accent1"/>
      </w:tblBorders>
    </w:tblPr>
    <w:tblStylePr w:type="firstRow">
      <w:rPr>
        <w:rFonts w:asciiTheme="majorHAnsi" w:eastAsiaTheme="majorEastAsia" w:hAnsiTheme="majorHAnsi" w:cstheme="majorBidi"/>
      </w:rPr>
      <w:tblPr/>
      <w:tcPr>
        <w:tcBorders>
          <w:top w:val="nil"/>
          <w:bottom w:val="single" w:sz="8" w:space="0" w:color="00B5E2" w:themeColor="accent1"/>
        </w:tcBorders>
      </w:tcPr>
    </w:tblStylePr>
    <w:tblStylePr w:type="lastRow">
      <w:rPr>
        <w:b/>
        <w:bCs/>
        <w:color w:val="000000" w:themeColor="text2"/>
      </w:rPr>
      <w:tblPr/>
      <w:tcPr>
        <w:tcBorders>
          <w:top w:val="single" w:sz="8" w:space="0" w:color="00B5E2" w:themeColor="accent1"/>
          <w:bottom w:val="single" w:sz="8" w:space="0" w:color="00B5E2" w:themeColor="accent1"/>
        </w:tcBorders>
      </w:tcPr>
    </w:tblStylePr>
    <w:tblStylePr w:type="firstCol">
      <w:rPr>
        <w:b/>
        <w:bCs/>
      </w:rPr>
    </w:tblStylePr>
    <w:tblStylePr w:type="lastCol">
      <w:rPr>
        <w:b/>
        <w:bCs/>
      </w:rPr>
      <w:tblPr/>
      <w:tcPr>
        <w:tcBorders>
          <w:top w:val="single" w:sz="8" w:space="0" w:color="00B5E2" w:themeColor="accent1"/>
          <w:bottom w:val="single" w:sz="8" w:space="0" w:color="00B5E2" w:themeColor="accent1"/>
        </w:tcBorders>
      </w:tcPr>
    </w:tblStylePr>
    <w:tblStylePr w:type="band1Vert">
      <w:tblPr/>
      <w:tcPr>
        <w:shd w:val="clear" w:color="auto" w:fill="B8F0FF" w:themeFill="accent1" w:themeFillTint="3F"/>
      </w:tcPr>
    </w:tblStylePr>
    <w:tblStylePr w:type="band1Horz">
      <w:tblPr/>
      <w:tcPr>
        <w:shd w:val="clear" w:color="auto" w:fill="B8F0FF" w:themeFill="accent1" w:themeFillTint="3F"/>
      </w:tcPr>
    </w:tblStylePr>
  </w:style>
  <w:style w:type="table" w:styleId="MediumList1-Accent2">
    <w:name w:val="Medium List 1 Accent 2"/>
    <w:basedOn w:val="TableNormal"/>
    <w:uiPriority w:val="65"/>
    <w:semiHidden/>
    <w:unhideWhenUsed/>
    <w:rsid w:val="009E6ED7"/>
    <w:rPr>
      <w:color w:val="000000" w:themeColor="text1"/>
    </w:rPr>
    <w:tblPr>
      <w:tblStyleRowBandSize w:val="1"/>
      <w:tblStyleColBandSize w:val="1"/>
      <w:tblBorders>
        <w:top w:val="single" w:sz="8" w:space="0" w:color="84BD00" w:themeColor="accent2"/>
        <w:bottom w:val="single" w:sz="8" w:space="0" w:color="84BD00" w:themeColor="accent2"/>
      </w:tblBorders>
    </w:tblPr>
    <w:tblStylePr w:type="firstRow">
      <w:rPr>
        <w:rFonts w:asciiTheme="majorHAnsi" w:eastAsiaTheme="majorEastAsia" w:hAnsiTheme="majorHAnsi" w:cstheme="majorBidi"/>
      </w:rPr>
      <w:tblPr/>
      <w:tcPr>
        <w:tcBorders>
          <w:top w:val="nil"/>
          <w:bottom w:val="single" w:sz="8" w:space="0" w:color="84BD00" w:themeColor="accent2"/>
        </w:tcBorders>
      </w:tcPr>
    </w:tblStylePr>
    <w:tblStylePr w:type="lastRow">
      <w:rPr>
        <w:b/>
        <w:bCs/>
        <w:color w:val="000000" w:themeColor="text2"/>
      </w:rPr>
      <w:tblPr/>
      <w:tcPr>
        <w:tcBorders>
          <w:top w:val="single" w:sz="8" w:space="0" w:color="84BD00" w:themeColor="accent2"/>
          <w:bottom w:val="single" w:sz="8" w:space="0" w:color="84BD00" w:themeColor="accent2"/>
        </w:tcBorders>
      </w:tcPr>
    </w:tblStylePr>
    <w:tblStylePr w:type="firstCol">
      <w:rPr>
        <w:b/>
        <w:bCs/>
      </w:rPr>
    </w:tblStylePr>
    <w:tblStylePr w:type="lastCol">
      <w:rPr>
        <w:b/>
        <w:bCs/>
      </w:rPr>
      <w:tblPr/>
      <w:tcPr>
        <w:tcBorders>
          <w:top w:val="single" w:sz="8" w:space="0" w:color="84BD00" w:themeColor="accent2"/>
          <w:bottom w:val="single" w:sz="8" w:space="0" w:color="84BD00" w:themeColor="accent2"/>
        </w:tcBorders>
      </w:tcPr>
    </w:tblStylePr>
    <w:tblStylePr w:type="band1Vert">
      <w:tblPr/>
      <w:tcPr>
        <w:shd w:val="clear" w:color="auto" w:fill="E7FFAF" w:themeFill="accent2" w:themeFillTint="3F"/>
      </w:tcPr>
    </w:tblStylePr>
    <w:tblStylePr w:type="band1Horz">
      <w:tblPr/>
      <w:tcPr>
        <w:shd w:val="clear" w:color="auto" w:fill="E7FFAF" w:themeFill="accent2" w:themeFillTint="3F"/>
      </w:tcPr>
    </w:tblStylePr>
  </w:style>
  <w:style w:type="table" w:styleId="MediumList1-Accent3">
    <w:name w:val="Medium List 1 Accent 3"/>
    <w:basedOn w:val="TableNormal"/>
    <w:uiPriority w:val="65"/>
    <w:semiHidden/>
    <w:unhideWhenUsed/>
    <w:rsid w:val="009E6ED7"/>
    <w:rPr>
      <w:color w:val="000000" w:themeColor="text1"/>
    </w:rPr>
    <w:tblPr>
      <w:tblStyleRowBandSize w:val="1"/>
      <w:tblStyleColBandSize w:val="1"/>
      <w:tblBorders>
        <w:top w:val="single" w:sz="8" w:space="0" w:color="F68B1F" w:themeColor="accent3"/>
        <w:bottom w:val="single" w:sz="8" w:space="0" w:color="F68B1F" w:themeColor="accent3"/>
      </w:tblBorders>
    </w:tblPr>
    <w:tblStylePr w:type="firstRow">
      <w:rPr>
        <w:rFonts w:asciiTheme="majorHAnsi" w:eastAsiaTheme="majorEastAsia" w:hAnsiTheme="majorHAnsi" w:cstheme="majorBidi"/>
      </w:rPr>
      <w:tblPr/>
      <w:tcPr>
        <w:tcBorders>
          <w:top w:val="nil"/>
          <w:bottom w:val="single" w:sz="8" w:space="0" w:color="F68B1F" w:themeColor="accent3"/>
        </w:tcBorders>
      </w:tcPr>
    </w:tblStylePr>
    <w:tblStylePr w:type="lastRow">
      <w:rPr>
        <w:b/>
        <w:bCs/>
        <w:color w:val="000000" w:themeColor="text2"/>
      </w:rPr>
      <w:tblPr/>
      <w:tcPr>
        <w:tcBorders>
          <w:top w:val="single" w:sz="8" w:space="0" w:color="F68B1F" w:themeColor="accent3"/>
          <w:bottom w:val="single" w:sz="8" w:space="0" w:color="F68B1F" w:themeColor="accent3"/>
        </w:tcBorders>
      </w:tcPr>
    </w:tblStylePr>
    <w:tblStylePr w:type="firstCol">
      <w:rPr>
        <w:b/>
        <w:bCs/>
      </w:rPr>
    </w:tblStylePr>
    <w:tblStylePr w:type="lastCol">
      <w:rPr>
        <w:b/>
        <w:bCs/>
      </w:rPr>
      <w:tblPr/>
      <w:tcPr>
        <w:tcBorders>
          <w:top w:val="single" w:sz="8" w:space="0" w:color="F68B1F" w:themeColor="accent3"/>
          <w:bottom w:val="single" w:sz="8" w:space="0" w:color="F68B1F" w:themeColor="accent3"/>
        </w:tcBorders>
      </w:tcPr>
    </w:tblStylePr>
    <w:tblStylePr w:type="band1Vert">
      <w:tblPr/>
      <w:tcPr>
        <w:shd w:val="clear" w:color="auto" w:fill="FCE2C7" w:themeFill="accent3" w:themeFillTint="3F"/>
      </w:tcPr>
    </w:tblStylePr>
    <w:tblStylePr w:type="band1Horz">
      <w:tblPr/>
      <w:tcPr>
        <w:shd w:val="clear" w:color="auto" w:fill="FCE2C7" w:themeFill="accent3" w:themeFillTint="3F"/>
      </w:tcPr>
    </w:tblStylePr>
  </w:style>
  <w:style w:type="table" w:styleId="MediumList1-Accent4">
    <w:name w:val="Medium List 1 Accent 4"/>
    <w:basedOn w:val="TableNormal"/>
    <w:uiPriority w:val="65"/>
    <w:semiHidden/>
    <w:unhideWhenUsed/>
    <w:rsid w:val="009E6ED7"/>
    <w:rPr>
      <w:color w:val="000000" w:themeColor="text1"/>
    </w:rPr>
    <w:tblPr>
      <w:tblStyleRowBandSize w:val="1"/>
      <w:tblStyleColBandSize w:val="1"/>
      <w:tblBorders>
        <w:top w:val="single" w:sz="8" w:space="0" w:color="9E007E" w:themeColor="accent4"/>
        <w:bottom w:val="single" w:sz="8" w:space="0" w:color="9E007E" w:themeColor="accent4"/>
      </w:tblBorders>
    </w:tblPr>
    <w:tblStylePr w:type="firstRow">
      <w:rPr>
        <w:rFonts w:asciiTheme="majorHAnsi" w:eastAsiaTheme="majorEastAsia" w:hAnsiTheme="majorHAnsi" w:cstheme="majorBidi"/>
      </w:rPr>
      <w:tblPr/>
      <w:tcPr>
        <w:tcBorders>
          <w:top w:val="nil"/>
          <w:bottom w:val="single" w:sz="8" w:space="0" w:color="9E007E" w:themeColor="accent4"/>
        </w:tcBorders>
      </w:tcPr>
    </w:tblStylePr>
    <w:tblStylePr w:type="lastRow">
      <w:rPr>
        <w:b/>
        <w:bCs/>
        <w:color w:val="000000" w:themeColor="text2"/>
      </w:rPr>
      <w:tblPr/>
      <w:tcPr>
        <w:tcBorders>
          <w:top w:val="single" w:sz="8" w:space="0" w:color="9E007E" w:themeColor="accent4"/>
          <w:bottom w:val="single" w:sz="8" w:space="0" w:color="9E007E" w:themeColor="accent4"/>
        </w:tcBorders>
      </w:tcPr>
    </w:tblStylePr>
    <w:tblStylePr w:type="firstCol">
      <w:rPr>
        <w:b/>
        <w:bCs/>
      </w:rPr>
    </w:tblStylePr>
    <w:tblStylePr w:type="lastCol">
      <w:rPr>
        <w:b/>
        <w:bCs/>
      </w:rPr>
      <w:tblPr/>
      <w:tcPr>
        <w:tcBorders>
          <w:top w:val="single" w:sz="8" w:space="0" w:color="9E007E" w:themeColor="accent4"/>
          <w:bottom w:val="single" w:sz="8" w:space="0" w:color="9E007E" w:themeColor="accent4"/>
        </w:tcBorders>
      </w:tcPr>
    </w:tblStylePr>
    <w:tblStylePr w:type="band1Vert">
      <w:tblPr/>
      <w:tcPr>
        <w:shd w:val="clear" w:color="auto" w:fill="FFA8ED" w:themeFill="accent4" w:themeFillTint="3F"/>
      </w:tcPr>
    </w:tblStylePr>
    <w:tblStylePr w:type="band1Horz">
      <w:tblPr/>
      <w:tcPr>
        <w:shd w:val="clear" w:color="auto" w:fill="FFA8ED" w:themeFill="accent4" w:themeFillTint="3F"/>
      </w:tcPr>
    </w:tblStylePr>
  </w:style>
  <w:style w:type="table" w:styleId="MediumList1-Accent5">
    <w:name w:val="Medium List 1 Accent 5"/>
    <w:basedOn w:val="TableNormal"/>
    <w:uiPriority w:val="65"/>
    <w:semiHidden/>
    <w:unhideWhenUsed/>
    <w:rsid w:val="009E6ED7"/>
    <w:rPr>
      <w:color w:val="000000" w:themeColor="text1"/>
    </w:rPr>
    <w:tblPr>
      <w:tblStyleRowBandSize w:val="1"/>
      <w:tblStyleColBandSize w:val="1"/>
      <w:tblBorders>
        <w:top w:val="single" w:sz="8" w:space="0" w:color="FFE512" w:themeColor="accent5"/>
        <w:bottom w:val="single" w:sz="8" w:space="0" w:color="FFE512" w:themeColor="accent5"/>
      </w:tblBorders>
    </w:tblPr>
    <w:tblStylePr w:type="firstRow">
      <w:rPr>
        <w:rFonts w:asciiTheme="majorHAnsi" w:eastAsiaTheme="majorEastAsia" w:hAnsiTheme="majorHAnsi" w:cstheme="majorBidi"/>
      </w:rPr>
      <w:tblPr/>
      <w:tcPr>
        <w:tcBorders>
          <w:top w:val="nil"/>
          <w:bottom w:val="single" w:sz="8" w:space="0" w:color="FFE512" w:themeColor="accent5"/>
        </w:tcBorders>
      </w:tcPr>
    </w:tblStylePr>
    <w:tblStylePr w:type="lastRow">
      <w:rPr>
        <w:b/>
        <w:bCs/>
        <w:color w:val="000000" w:themeColor="text2"/>
      </w:rPr>
      <w:tblPr/>
      <w:tcPr>
        <w:tcBorders>
          <w:top w:val="single" w:sz="8" w:space="0" w:color="FFE512" w:themeColor="accent5"/>
          <w:bottom w:val="single" w:sz="8" w:space="0" w:color="FFE512" w:themeColor="accent5"/>
        </w:tcBorders>
      </w:tcPr>
    </w:tblStylePr>
    <w:tblStylePr w:type="firstCol">
      <w:rPr>
        <w:b/>
        <w:bCs/>
      </w:rPr>
    </w:tblStylePr>
    <w:tblStylePr w:type="lastCol">
      <w:rPr>
        <w:b/>
        <w:bCs/>
      </w:rPr>
      <w:tblPr/>
      <w:tcPr>
        <w:tcBorders>
          <w:top w:val="single" w:sz="8" w:space="0" w:color="FFE512" w:themeColor="accent5"/>
          <w:bottom w:val="single" w:sz="8" w:space="0" w:color="FFE512" w:themeColor="accent5"/>
        </w:tcBorders>
      </w:tcPr>
    </w:tblStylePr>
    <w:tblStylePr w:type="band1Vert">
      <w:tblPr/>
      <w:tcPr>
        <w:shd w:val="clear" w:color="auto" w:fill="FFF8C4" w:themeFill="accent5" w:themeFillTint="3F"/>
      </w:tcPr>
    </w:tblStylePr>
    <w:tblStylePr w:type="band1Horz">
      <w:tblPr/>
      <w:tcPr>
        <w:shd w:val="clear" w:color="auto" w:fill="FFF8C4" w:themeFill="accent5" w:themeFillTint="3F"/>
      </w:tcPr>
    </w:tblStylePr>
  </w:style>
  <w:style w:type="table" w:styleId="MediumList1-Accent6">
    <w:name w:val="Medium List 1 Accent 6"/>
    <w:basedOn w:val="TableNormal"/>
    <w:uiPriority w:val="65"/>
    <w:semiHidden/>
    <w:unhideWhenUsed/>
    <w:rsid w:val="009E6ED7"/>
    <w:rPr>
      <w:color w:val="000000" w:themeColor="text1"/>
    </w:rPr>
    <w:tblPr>
      <w:tblStyleRowBandSize w:val="1"/>
      <w:tblStyleColBandSize w:val="1"/>
      <w:tblBorders>
        <w:top w:val="single" w:sz="8" w:space="0" w:color="8C8279" w:themeColor="accent6"/>
        <w:bottom w:val="single" w:sz="8" w:space="0" w:color="8C8279" w:themeColor="accent6"/>
      </w:tblBorders>
    </w:tblPr>
    <w:tblStylePr w:type="firstRow">
      <w:rPr>
        <w:rFonts w:asciiTheme="majorHAnsi" w:eastAsiaTheme="majorEastAsia" w:hAnsiTheme="majorHAnsi" w:cstheme="majorBidi"/>
      </w:rPr>
      <w:tblPr/>
      <w:tcPr>
        <w:tcBorders>
          <w:top w:val="nil"/>
          <w:bottom w:val="single" w:sz="8" w:space="0" w:color="8C8279" w:themeColor="accent6"/>
        </w:tcBorders>
      </w:tcPr>
    </w:tblStylePr>
    <w:tblStylePr w:type="lastRow">
      <w:rPr>
        <w:b/>
        <w:bCs/>
        <w:color w:val="000000" w:themeColor="text2"/>
      </w:rPr>
      <w:tblPr/>
      <w:tcPr>
        <w:tcBorders>
          <w:top w:val="single" w:sz="8" w:space="0" w:color="8C8279" w:themeColor="accent6"/>
          <w:bottom w:val="single" w:sz="8" w:space="0" w:color="8C8279" w:themeColor="accent6"/>
        </w:tcBorders>
      </w:tcPr>
    </w:tblStylePr>
    <w:tblStylePr w:type="firstCol">
      <w:rPr>
        <w:b/>
        <w:bCs/>
      </w:rPr>
    </w:tblStylePr>
    <w:tblStylePr w:type="lastCol">
      <w:rPr>
        <w:b/>
        <w:bCs/>
      </w:rPr>
      <w:tblPr/>
      <w:tcPr>
        <w:tcBorders>
          <w:top w:val="single" w:sz="8" w:space="0" w:color="8C8279" w:themeColor="accent6"/>
          <w:bottom w:val="single" w:sz="8" w:space="0" w:color="8C8279" w:themeColor="accent6"/>
        </w:tcBorders>
      </w:tcPr>
    </w:tblStylePr>
    <w:tblStylePr w:type="band1Vert">
      <w:tblPr/>
      <w:tcPr>
        <w:shd w:val="clear" w:color="auto" w:fill="E2E0DD" w:themeFill="accent6" w:themeFillTint="3F"/>
      </w:tcPr>
    </w:tblStylePr>
    <w:tblStylePr w:type="band1Horz">
      <w:tblPr/>
      <w:tcPr>
        <w:shd w:val="clear" w:color="auto" w:fill="E2E0DD" w:themeFill="accent6" w:themeFillTint="3F"/>
      </w:tcPr>
    </w:tblStylePr>
  </w:style>
  <w:style w:type="table" w:styleId="MediumList2">
    <w:name w:val="Medium Lis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rPr>
        <w:sz w:val="24"/>
        <w:szCs w:val="24"/>
      </w:rPr>
      <w:tblPr/>
      <w:tcPr>
        <w:tcBorders>
          <w:top w:val="nil"/>
          <w:left w:val="nil"/>
          <w:bottom w:val="single" w:sz="24" w:space="0" w:color="00B5E2" w:themeColor="accent1"/>
          <w:right w:val="nil"/>
          <w:insideH w:val="nil"/>
          <w:insideV w:val="nil"/>
        </w:tcBorders>
        <w:shd w:val="clear" w:color="auto" w:fill="FFFFFF" w:themeFill="background1"/>
      </w:tcPr>
    </w:tblStylePr>
    <w:tblStylePr w:type="lastRow">
      <w:tblPr/>
      <w:tcPr>
        <w:tcBorders>
          <w:top w:val="single" w:sz="8" w:space="0" w:color="00B5E2"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B5E2" w:themeColor="accent1"/>
          <w:insideH w:val="nil"/>
          <w:insideV w:val="nil"/>
        </w:tcBorders>
        <w:shd w:val="clear" w:color="auto" w:fill="FFFFFF" w:themeFill="background1"/>
      </w:tcPr>
    </w:tblStylePr>
    <w:tblStylePr w:type="lastCol">
      <w:tblPr/>
      <w:tcPr>
        <w:tcBorders>
          <w:top w:val="nil"/>
          <w:left w:val="single" w:sz="8" w:space="0" w:color="00B5E2"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top w:val="nil"/>
          <w:bottom w:val="nil"/>
          <w:insideH w:val="nil"/>
          <w:insideV w:val="nil"/>
        </w:tcBorders>
        <w:shd w:val="clear" w:color="auto" w:fill="B8F0FF"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rPr>
        <w:sz w:val="24"/>
        <w:szCs w:val="24"/>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tblPr/>
      <w:tcPr>
        <w:tcBorders>
          <w:top w:val="single" w:sz="8" w:space="0" w:color="84BD00"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4BD00" w:themeColor="accent2"/>
          <w:insideH w:val="nil"/>
          <w:insideV w:val="nil"/>
        </w:tcBorders>
        <w:shd w:val="clear" w:color="auto" w:fill="FFFFFF" w:themeFill="background1"/>
      </w:tcPr>
    </w:tblStylePr>
    <w:tblStylePr w:type="lastCol">
      <w:tblPr/>
      <w:tcPr>
        <w:tcBorders>
          <w:top w:val="nil"/>
          <w:left w:val="single" w:sz="8" w:space="0" w:color="84BD00"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top w:val="nil"/>
          <w:bottom w:val="nil"/>
          <w:insideH w:val="nil"/>
          <w:insideV w:val="nil"/>
        </w:tcBorders>
        <w:shd w:val="clear" w:color="auto" w:fill="E7FFAF"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rPr>
        <w:sz w:val="24"/>
        <w:szCs w:val="24"/>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tblPr/>
      <w:tcPr>
        <w:tcBorders>
          <w:top w:val="single" w:sz="8" w:space="0" w:color="F68B1F"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68B1F" w:themeColor="accent3"/>
          <w:insideH w:val="nil"/>
          <w:insideV w:val="nil"/>
        </w:tcBorders>
        <w:shd w:val="clear" w:color="auto" w:fill="FFFFFF" w:themeFill="background1"/>
      </w:tcPr>
    </w:tblStylePr>
    <w:tblStylePr w:type="lastCol">
      <w:tblPr/>
      <w:tcPr>
        <w:tcBorders>
          <w:top w:val="nil"/>
          <w:left w:val="single" w:sz="8" w:space="0" w:color="F68B1F"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top w:val="nil"/>
          <w:bottom w:val="nil"/>
          <w:insideH w:val="nil"/>
          <w:insideV w:val="nil"/>
        </w:tcBorders>
        <w:shd w:val="clear" w:color="auto" w:fill="FCE2C7"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rPr>
        <w:sz w:val="24"/>
        <w:szCs w:val="24"/>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tblPr/>
      <w:tcPr>
        <w:tcBorders>
          <w:top w:val="single" w:sz="8" w:space="0" w:color="9E007E"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E007E" w:themeColor="accent4"/>
          <w:insideH w:val="nil"/>
          <w:insideV w:val="nil"/>
        </w:tcBorders>
        <w:shd w:val="clear" w:color="auto" w:fill="FFFFFF" w:themeFill="background1"/>
      </w:tcPr>
    </w:tblStylePr>
    <w:tblStylePr w:type="lastCol">
      <w:tblPr/>
      <w:tcPr>
        <w:tcBorders>
          <w:top w:val="nil"/>
          <w:left w:val="single" w:sz="8" w:space="0" w:color="9E007E"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top w:val="nil"/>
          <w:bottom w:val="nil"/>
          <w:insideH w:val="nil"/>
          <w:insideV w:val="nil"/>
        </w:tcBorders>
        <w:shd w:val="clear" w:color="auto" w:fill="FFA8ED"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rPr>
        <w:sz w:val="24"/>
        <w:szCs w:val="24"/>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tblPr/>
      <w:tcPr>
        <w:tcBorders>
          <w:top w:val="single" w:sz="8" w:space="0" w:color="FFE512"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E512" w:themeColor="accent5"/>
          <w:insideH w:val="nil"/>
          <w:insideV w:val="nil"/>
        </w:tcBorders>
        <w:shd w:val="clear" w:color="auto" w:fill="FFFFFF" w:themeFill="background1"/>
      </w:tcPr>
    </w:tblStylePr>
    <w:tblStylePr w:type="lastCol">
      <w:tblPr/>
      <w:tcPr>
        <w:tcBorders>
          <w:top w:val="nil"/>
          <w:left w:val="single" w:sz="8" w:space="0" w:color="FFE512"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top w:val="nil"/>
          <w:bottom w:val="nil"/>
          <w:insideH w:val="nil"/>
          <w:insideV w:val="nil"/>
        </w:tcBorders>
        <w:shd w:val="clear" w:color="auto" w:fill="FFF8C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rPr>
        <w:sz w:val="24"/>
        <w:szCs w:val="24"/>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tblPr/>
      <w:tcPr>
        <w:tcBorders>
          <w:top w:val="single" w:sz="8" w:space="0" w:color="8C8279"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C8279" w:themeColor="accent6"/>
          <w:insideH w:val="nil"/>
          <w:insideV w:val="nil"/>
        </w:tcBorders>
        <w:shd w:val="clear" w:color="auto" w:fill="FFFFFF" w:themeFill="background1"/>
      </w:tcPr>
    </w:tblStylePr>
    <w:tblStylePr w:type="lastCol">
      <w:tblPr/>
      <w:tcPr>
        <w:tcBorders>
          <w:top w:val="nil"/>
          <w:left w:val="single" w:sz="8" w:space="0" w:color="8C8279"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top w:val="nil"/>
          <w:bottom w:val="nil"/>
          <w:insideH w:val="nil"/>
          <w:insideV w:val="nil"/>
        </w:tcBorders>
        <w:shd w:val="clear" w:color="auto" w:fill="E2E0DD"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tblBorders>
    </w:tblPr>
    <w:tblStylePr w:type="firstRow">
      <w:pPr>
        <w:spacing w:before="0" w:after="0" w:line="240" w:lineRule="auto"/>
      </w:pPr>
      <w:rPr>
        <w:b/>
        <w:bCs/>
        <w:color w:val="FFFFFF" w:themeColor="background1"/>
      </w:rPr>
      <w:tblPr/>
      <w:tcPr>
        <w:tc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shd w:val="clear" w:color="auto" w:fill="00B5E2" w:themeFill="accent1"/>
      </w:tcPr>
    </w:tblStylePr>
    <w:tblStylePr w:type="lastRow">
      <w:pPr>
        <w:spacing w:before="0" w:after="0" w:line="240" w:lineRule="auto"/>
      </w:pPr>
      <w:rPr>
        <w:b/>
        <w:bCs/>
      </w:rPr>
      <w:tblPr/>
      <w:tcPr>
        <w:tcBorders>
          <w:top w:val="double" w:sz="6"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8F0FF" w:themeFill="accent1" w:themeFillTint="3F"/>
      </w:tcPr>
    </w:tblStylePr>
    <w:tblStylePr w:type="band1Horz">
      <w:tblPr/>
      <w:tcPr>
        <w:tcBorders>
          <w:insideH w:val="nil"/>
          <w:insideV w:val="nil"/>
        </w:tcBorders>
        <w:shd w:val="clear" w:color="auto" w:fill="B8F0FF"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tblBorders>
    </w:tblPr>
    <w:tblStylePr w:type="firstRow">
      <w:pPr>
        <w:spacing w:before="0" w:after="0" w:line="240" w:lineRule="auto"/>
      </w:pPr>
      <w:rPr>
        <w:b/>
        <w:bCs/>
        <w:color w:val="FFFFFF" w:themeColor="background1"/>
      </w:rPr>
      <w:tblPr/>
      <w:tcPr>
        <w:tc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shd w:val="clear" w:color="auto" w:fill="84BD00" w:themeFill="accent2"/>
      </w:tcPr>
    </w:tblStylePr>
    <w:tblStylePr w:type="lastRow">
      <w:pPr>
        <w:spacing w:before="0" w:after="0" w:line="240" w:lineRule="auto"/>
      </w:pPr>
      <w:rPr>
        <w:b/>
        <w:bCs/>
      </w:rPr>
      <w:tblPr/>
      <w:tcPr>
        <w:tcBorders>
          <w:top w:val="double" w:sz="6"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tcPr>
    </w:tblStylePr>
    <w:tblStylePr w:type="firstCol">
      <w:rPr>
        <w:b/>
        <w:bCs/>
      </w:rPr>
    </w:tblStylePr>
    <w:tblStylePr w:type="lastCol">
      <w:rPr>
        <w:b/>
        <w:bCs/>
      </w:rPr>
    </w:tblStylePr>
    <w:tblStylePr w:type="band1Vert">
      <w:tblPr/>
      <w:tcPr>
        <w:shd w:val="clear" w:color="auto" w:fill="E7FFAF" w:themeFill="accent2" w:themeFillTint="3F"/>
      </w:tcPr>
    </w:tblStylePr>
    <w:tblStylePr w:type="band1Horz">
      <w:tblPr/>
      <w:tcPr>
        <w:tcBorders>
          <w:insideH w:val="nil"/>
          <w:insideV w:val="nil"/>
        </w:tcBorders>
        <w:shd w:val="clear" w:color="auto" w:fill="E7FFAF"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tblBorders>
    </w:tblPr>
    <w:tblStylePr w:type="firstRow">
      <w:pPr>
        <w:spacing w:before="0" w:after="0" w:line="240" w:lineRule="auto"/>
      </w:pPr>
      <w:rPr>
        <w:b/>
        <w:bCs/>
        <w:color w:val="FFFFFF" w:themeColor="background1"/>
      </w:rPr>
      <w:tblPr/>
      <w:tcPr>
        <w:tc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shd w:val="clear" w:color="auto" w:fill="F68B1F" w:themeFill="accent3"/>
      </w:tcPr>
    </w:tblStylePr>
    <w:tblStylePr w:type="lastRow">
      <w:pPr>
        <w:spacing w:before="0" w:after="0" w:line="240" w:lineRule="auto"/>
      </w:pPr>
      <w:rPr>
        <w:b/>
        <w:bCs/>
      </w:rPr>
      <w:tblPr/>
      <w:tcPr>
        <w:tcBorders>
          <w:top w:val="double" w:sz="6"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tcPr>
    </w:tblStylePr>
    <w:tblStylePr w:type="firstCol">
      <w:rPr>
        <w:b/>
        <w:bCs/>
      </w:rPr>
    </w:tblStylePr>
    <w:tblStylePr w:type="lastCol">
      <w:rPr>
        <w:b/>
        <w:bCs/>
      </w:rPr>
    </w:tblStylePr>
    <w:tblStylePr w:type="band1Vert">
      <w:tblPr/>
      <w:tcPr>
        <w:shd w:val="clear" w:color="auto" w:fill="FCE2C7" w:themeFill="accent3" w:themeFillTint="3F"/>
      </w:tcPr>
    </w:tblStylePr>
    <w:tblStylePr w:type="band1Horz">
      <w:tblPr/>
      <w:tcPr>
        <w:tcBorders>
          <w:insideH w:val="nil"/>
          <w:insideV w:val="nil"/>
        </w:tcBorders>
        <w:shd w:val="clear" w:color="auto" w:fill="FCE2C7"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tblBorders>
    </w:tblPr>
    <w:tblStylePr w:type="firstRow">
      <w:pPr>
        <w:spacing w:before="0" w:after="0" w:line="240" w:lineRule="auto"/>
      </w:pPr>
      <w:rPr>
        <w:b/>
        <w:bCs/>
        <w:color w:val="FFFFFF" w:themeColor="background1"/>
      </w:rPr>
      <w:tblPr/>
      <w:tcPr>
        <w:tc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shd w:val="clear" w:color="auto" w:fill="9E007E" w:themeFill="accent4"/>
      </w:tcPr>
    </w:tblStylePr>
    <w:tblStylePr w:type="lastRow">
      <w:pPr>
        <w:spacing w:before="0" w:after="0" w:line="240" w:lineRule="auto"/>
      </w:pPr>
      <w:rPr>
        <w:b/>
        <w:bCs/>
      </w:rPr>
      <w:tblPr/>
      <w:tcPr>
        <w:tcBorders>
          <w:top w:val="double" w:sz="6"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A8ED" w:themeFill="accent4" w:themeFillTint="3F"/>
      </w:tcPr>
    </w:tblStylePr>
    <w:tblStylePr w:type="band1Horz">
      <w:tblPr/>
      <w:tcPr>
        <w:tcBorders>
          <w:insideH w:val="nil"/>
          <w:insideV w:val="nil"/>
        </w:tcBorders>
        <w:shd w:val="clear" w:color="auto" w:fill="FFA8ED"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tblBorders>
    </w:tblPr>
    <w:tblStylePr w:type="firstRow">
      <w:pPr>
        <w:spacing w:before="0" w:after="0" w:line="240" w:lineRule="auto"/>
      </w:pPr>
      <w:rPr>
        <w:b/>
        <w:bCs/>
        <w:color w:val="FFFFFF" w:themeColor="background1"/>
      </w:rPr>
      <w:tblPr/>
      <w:tcPr>
        <w:tc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shd w:val="clear" w:color="auto" w:fill="FFE512" w:themeFill="accent5"/>
      </w:tcPr>
    </w:tblStylePr>
    <w:tblStylePr w:type="lastRow">
      <w:pPr>
        <w:spacing w:before="0" w:after="0" w:line="240" w:lineRule="auto"/>
      </w:pPr>
      <w:rPr>
        <w:b/>
        <w:bCs/>
      </w:rPr>
      <w:tblPr/>
      <w:tcPr>
        <w:tcBorders>
          <w:top w:val="double" w:sz="6"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tcPr>
    </w:tblStylePr>
    <w:tblStylePr w:type="firstCol">
      <w:rPr>
        <w:b/>
        <w:bCs/>
      </w:rPr>
    </w:tblStylePr>
    <w:tblStylePr w:type="lastCol">
      <w:rPr>
        <w:b/>
        <w:bCs/>
      </w:rPr>
    </w:tblStylePr>
    <w:tblStylePr w:type="band1Vert">
      <w:tblPr/>
      <w:tcPr>
        <w:shd w:val="clear" w:color="auto" w:fill="FFF8C4" w:themeFill="accent5" w:themeFillTint="3F"/>
      </w:tcPr>
    </w:tblStylePr>
    <w:tblStylePr w:type="band1Horz">
      <w:tblPr/>
      <w:tcPr>
        <w:tcBorders>
          <w:insideH w:val="nil"/>
          <w:insideV w:val="nil"/>
        </w:tcBorders>
        <w:shd w:val="clear" w:color="auto" w:fill="FFF8C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tblBorders>
    </w:tblPr>
    <w:tblStylePr w:type="firstRow">
      <w:pPr>
        <w:spacing w:before="0" w:after="0" w:line="240" w:lineRule="auto"/>
      </w:pPr>
      <w:rPr>
        <w:b/>
        <w:bCs/>
        <w:color w:val="FFFFFF" w:themeColor="background1"/>
      </w:rPr>
      <w:tblPr/>
      <w:tcPr>
        <w:tc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shd w:val="clear" w:color="auto" w:fill="8C8279" w:themeFill="accent6"/>
      </w:tcPr>
    </w:tblStylePr>
    <w:tblStylePr w:type="lastRow">
      <w:pPr>
        <w:spacing w:before="0" w:after="0" w:line="240" w:lineRule="auto"/>
      </w:pPr>
      <w:rPr>
        <w:b/>
        <w:bCs/>
      </w:rPr>
      <w:tblPr/>
      <w:tcPr>
        <w:tcBorders>
          <w:top w:val="double" w:sz="6"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tcPr>
    </w:tblStylePr>
    <w:tblStylePr w:type="firstCol">
      <w:rPr>
        <w:b/>
        <w:bCs/>
      </w:rPr>
    </w:tblStylePr>
    <w:tblStylePr w:type="lastCol">
      <w:rPr>
        <w:b/>
        <w:bCs/>
      </w:rPr>
    </w:tblStylePr>
    <w:tblStylePr w:type="band1Vert">
      <w:tblPr/>
      <w:tcPr>
        <w:shd w:val="clear" w:color="auto" w:fill="E2E0DD" w:themeFill="accent6" w:themeFillTint="3F"/>
      </w:tcPr>
    </w:tblStylePr>
    <w:tblStylePr w:type="band1Horz">
      <w:tblPr/>
      <w:tcPr>
        <w:tcBorders>
          <w:insideH w:val="nil"/>
          <w:insideV w:val="nil"/>
        </w:tcBorders>
        <w:shd w:val="clear" w:color="auto" w:fill="E2E0DD"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B5E2"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B5E2" w:themeFill="accent1"/>
      </w:tcPr>
    </w:tblStylePr>
    <w:tblStylePr w:type="lastCol">
      <w:rPr>
        <w:b/>
        <w:bCs/>
        <w:color w:val="FFFFFF" w:themeColor="background1"/>
      </w:rPr>
      <w:tblPr/>
      <w:tcPr>
        <w:tcBorders>
          <w:left w:val="nil"/>
          <w:right w:val="nil"/>
          <w:insideH w:val="nil"/>
          <w:insideV w:val="nil"/>
        </w:tcBorders>
        <w:shd w:val="clear" w:color="auto" w:fill="00B5E2"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4BD00"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4BD00" w:themeFill="accent2"/>
      </w:tcPr>
    </w:tblStylePr>
    <w:tblStylePr w:type="lastCol">
      <w:rPr>
        <w:b/>
        <w:bCs/>
        <w:color w:val="FFFFFF" w:themeColor="background1"/>
      </w:rPr>
      <w:tblPr/>
      <w:tcPr>
        <w:tcBorders>
          <w:left w:val="nil"/>
          <w:right w:val="nil"/>
          <w:insideH w:val="nil"/>
          <w:insideV w:val="nil"/>
        </w:tcBorders>
        <w:shd w:val="clear" w:color="auto" w:fill="84BD00"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68B1F"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68B1F" w:themeFill="accent3"/>
      </w:tcPr>
    </w:tblStylePr>
    <w:tblStylePr w:type="lastCol">
      <w:rPr>
        <w:b/>
        <w:bCs/>
        <w:color w:val="FFFFFF" w:themeColor="background1"/>
      </w:rPr>
      <w:tblPr/>
      <w:tcPr>
        <w:tcBorders>
          <w:left w:val="nil"/>
          <w:right w:val="nil"/>
          <w:insideH w:val="nil"/>
          <w:insideV w:val="nil"/>
        </w:tcBorders>
        <w:shd w:val="clear" w:color="auto" w:fill="F68B1F"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E007E"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E007E" w:themeFill="accent4"/>
      </w:tcPr>
    </w:tblStylePr>
    <w:tblStylePr w:type="lastCol">
      <w:rPr>
        <w:b/>
        <w:bCs/>
        <w:color w:val="FFFFFF" w:themeColor="background1"/>
      </w:rPr>
      <w:tblPr/>
      <w:tcPr>
        <w:tcBorders>
          <w:left w:val="nil"/>
          <w:right w:val="nil"/>
          <w:insideH w:val="nil"/>
          <w:insideV w:val="nil"/>
        </w:tcBorders>
        <w:shd w:val="clear" w:color="auto" w:fill="9E007E"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E512"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E512" w:themeFill="accent5"/>
      </w:tcPr>
    </w:tblStylePr>
    <w:tblStylePr w:type="lastCol">
      <w:rPr>
        <w:b/>
        <w:bCs/>
        <w:color w:val="FFFFFF" w:themeColor="background1"/>
      </w:rPr>
      <w:tblPr/>
      <w:tcPr>
        <w:tcBorders>
          <w:left w:val="nil"/>
          <w:right w:val="nil"/>
          <w:insideH w:val="nil"/>
          <w:insideV w:val="nil"/>
        </w:tcBorders>
        <w:shd w:val="clear" w:color="auto" w:fill="FFE512"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C8279"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C8279" w:themeFill="accent6"/>
      </w:tcPr>
    </w:tblStylePr>
    <w:tblStylePr w:type="lastCol">
      <w:rPr>
        <w:b/>
        <w:bCs/>
        <w:color w:val="FFFFFF" w:themeColor="background1"/>
      </w:rPr>
      <w:tblPr/>
      <w:tcPr>
        <w:tcBorders>
          <w:left w:val="nil"/>
          <w:right w:val="nil"/>
          <w:insideH w:val="nil"/>
          <w:insideV w:val="nil"/>
        </w:tcBorders>
        <w:shd w:val="clear" w:color="auto" w:fill="8C8279"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Table3Deffects1">
    <w:name w:val="Table 3D effects 1"/>
    <w:basedOn w:val="TableNormal"/>
    <w:uiPriority w:val="99"/>
    <w:semiHidden/>
    <w:unhideWhenUsed/>
    <w:rsid w:val="009E6ED7"/>
    <w:pPr>
      <w:spacing w:line="24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9E6ED7"/>
    <w:pPr>
      <w:spacing w:line="24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9E6ED7"/>
    <w:pPr>
      <w:spacing w:line="24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9E6ED7"/>
    <w:pPr>
      <w:spacing w:line="24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9E6ED7"/>
    <w:pPr>
      <w:spacing w:line="24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9E6ED7"/>
    <w:pPr>
      <w:spacing w:line="24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9E6ED7"/>
    <w:pPr>
      <w:spacing w:line="24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9E6ED7"/>
    <w:pPr>
      <w:spacing w:line="24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9E6ED7"/>
    <w:pPr>
      <w:spacing w:line="24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9E6ED7"/>
    <w:pPr>
      <w:spacing w:line="24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9E6ED7"/>
    <w:pPr>
      <w:spacing w:line="24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9E6ED7"/>
    <w:pPr>
      <w:spacing w:line="24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9E6ED7"/>
    <w:pPr>
      <w:spacing w:line="24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9E6ED7"/>
    <w:pPr>
      <w:spacing w:line="24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9E6ED7"/>
    <w:pPr>
      <w:spacing w:line="24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9E6ED7"/>
    <w:pPr>
      <w:spacing w:line="24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9E6ED7"/>
    <w:pPr>
      <w:spacing w:line="24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9E6ED7"/>
    <w:pPr>
      <w:spacing w:line="24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9E6ED7"/>
    <w:pPr>
      <w:spacing w:line="24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9E6ED7"/>
    <w:pPr>
      <w:spacing w:line="24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rsid w:val="009E6ED7"/>
    <w:pPr>
      <w:spacing w:line="24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9E6ED7"/>
    <w:pPr>
      <w:spacing w:line="24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9E6ED7"/>
    <w:pPr>
      <w:spacing w:line="24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9E6ED7"/>
    <w:pPr>
      <w:spacing w:line="24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9E6ED7"/>
    <w:pPr>
      <w:spacing w:line="24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9E6ED7"/>
    <w:pPr>
      <w:spacing w:line="24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9E6ED7"/>
    <w:pPr>
      <w:spacing w:line="24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9E6ED7"/>
    <w:pPr>
      <w:spacing w:line="24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9E6ED7"/>
    <w:pPr>
      <w:spacing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rsid w:val="009E6ED7"/>
    <w:pPr>
      <w:spacing w:line="24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9E6ED7"/>
    <w:pPr>
      <w:spacing w:line="24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9E6ED7"/>
    <w:pPr>
      <w:spacing w:line="24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Header">
    <w:name w:val="header"/>
    <w:basedOn w:val="Normal"/>
    <w:link w:val="HeaderChar"/>
    <w:uiPriority w:val="99"/>
    <w:unhideWhenUsed/>
    <w:rsid w:val="007F6341"/>
    <w:pPr>
      <w:tabs>
        <w:tab w:val="center" w:pos="4513"/>
        <w:tab w:val="right" w:pos="9026"/>
      </w:tabs>
      <w:spacing w:line="240" w:lineRule="auto"/>
    </w:pPr>
    <w:rPr>
      <w:noProof/>
      <w:sz w:val="14"/>
    </w:rPr>
  </w:style>
  <w:style w:type="character" w:customStyle="1" w:styleId="HeaderChar">
    <w:name w:val="Header Char"/>
    <w:basedOn w:val="DefaultParagraphFont"/>
    <w:link w:val="Header"/>
    <w:uiPriority w:val="99"/>
    <w:rsid w:val="00F66A91"/>
    <w:rPr>
      <w:noProof/>
      <w:kern w:val="18"/>
      <w:sz w:val="14"/>
    </w:rPr>
  </w:style>
  <w:style w:type="paragraph" w:styleId="Footer">
    <w:name w:val="footer"/>
    <w:basedOn w:val="Normal"/>
    <w:link w:val="FooterChar"/>
    <w:uiPriority w:val="99"/>
    <w:unhideWhenUsed/>
    <w:rsid w:val="007F6341"/>
    <w:pPr>
      <w:tabs>
        <w:tab w:val="center" w:pos="4513"/>
        <w:tab w:val="right" w:pos="9026"/>
      </w:tabs>
      <w:spacing w:line="240" w:lineRule="auto"/>
    </w:pPr>
    <w:rPr>
      <w:noProof/>
      <w:sz w:val="14"/>
    </w:rPr>
  </w:style>
  <w:style w:type="character" w:customStyle="1" w:styleId="FooterChar">
    <w:name w:val="Footer Char"/>
    <w:basedOn w:val="DefaultParagraphFont"/>
    <w:link w:val="Footer"/>
    <w:uiPriority w:val="99"/>
    <w:rsid w:val="00F66A91"/>
    <w:rPr>
      <w:noProof/>
      <w:kern w:val="18"/>
      <w:sz w:val="14"/>
    </w:rPr>
  </w:style>
  <w:style w:type="numbering" w:customStyle="1" w:styleId="AECOMNumbering">
    <w:name w:val="AECOM Numbering"/>
    <w:basedOn w:val="NoList"/>
    <w:uiPriority w:val="99"/>
    <w:semiHidden/>
    <w:unhideWhenUsed/>
    <w:rsid w:val="00FF093C"/>
    <w:pPr>
      <w:numPr>
        <w:numId w:val="7"/>
      </w:numPr>
    </w:pPr>
  </w:style>
  <w:style w:type="numbering" w:customStyle="1" w:styleId="AECOMAppendix">
    <w:name w:val="AECOM Appendix"/>
    <w:uiPriority w:val="99"/>
    <w:semiHidden/>
    <w:unhideWhenUsed/>
    <w:rsid w:val="006A3705"/>
    <w:pPr>
      <w:numPr>
        <w:numId w:val="8"/>
      </w:numPr>
    </w:pPr>
  </w:style>
  <w:style w:type="character" w:customStyle="1" w:styleId="Heading6Char">
    <w:name w:val="Heading 6 Char"/>
    <w:basedOn w:val="DefaultParagraphFont"/>
    <w:link w:val="Heading6"/>
    <w:rsid w:val="00F66A91"/>
    <w:rPr>
      <w:rFonts w:asciiTheme="majorHAnsi" w:eastAsiaTheme="majorEastAsia" w:hAnsiTheme="majorHAnsi" w:cstheme="majorBidi"/>
      <w:i/>
      <w:iCs/>
      <w:color w:val="005970" w:themeColor="accent1" w:themeShade="7F"/>
      <w:kern w:val="18"/>
    </w:rPr>
  </w:style>
  <w:style w:type="character" w:customStyle="1" w:styleId="Heading7Char">
    <w:name w:val="Heading 7 Char"/>
    <w:basedOn w:val="DefaultParagraphFont"/>
    <w:link w:val="Heading7"/>
    <w:uiPriority w:val="9"/>
    <w:semiHidden/>
    <w:rsid w:val="00F66A91"/>
    <w:rPr>
      <w:rFonts w:asciiTheme="majorHAnsi" w:eastAsiaTheme="majorEastAsia" w:hAnsiTheme="majorHAnsi" w:cstheme="majorBidi"/>
      <w:i/>
      <w:iCs/>
      <w:color w:val="404040" w:themeColor="text1" w:themeTint="BF"/>
      <w:kern w:val="18"/>
    </w:rPr>
  </w:style>
  <w:style w:type="character" w:customStyle="1" w:styleId="Heading8Char">
    <w:name w:val="Heading 8 Char"/>
    <w:basedOn w:val="DefaultParagraphFont"/>
    <w:link w:val="Heading8"/>
    <w:uiPriority w:val="9"/>
    <w:semiHidden/>
    <w:rsid w:val="00F66A91"/>
    <w:rPr>
      <w:rFonts w:asciiTheme="majorHAnsi" w:eastAsiaTheme="majorEastAsia" w:hAnsiTheme="majorHAnsi" w:cstheme="majorBidi"/>
      <w:color w:val="404040" w:themeColor="text1" w:themeTint="BF"/>
      <w:kern w:val="18"/>
      <w:sz w:val="20"/>
      <w:szCs w:val="20"/>
    </w:rPr>
  </w:style>
  <w:style w:type="character" w:customStyle="1" w:styleId="Heading9Char">
    <w:name w:val="Heading 9 Char"/>
    <w:basedOn w:val="DefaultParagraphFont"/>
    <w:link w:val="Heading9"/>
    <w:uiPriority w:val="9"/>
    <w:semiHidden/>
    <w:rsid w:val="00F66A91"/>
    <w:rPr>
      <w:rFonts w:asciiTheme="majorHAnsi" w:eastAsiaTheme="majorEastAsia" w:hAnsiTheme="majorHAnsi" w:cstheme="majorBidi"/>
      <w:i/>
      <w:iCs/>
      <w:color w:val="404040" w:themeColor="text1" w:themeTint="BF"/>
      <w:kern w:val="18"/>
      <w:sz w:val="20"/>
      <w:szCs w:val="20"/>
    </w:rPr>
  </w:style>
  <w:style w:type="table" w:customStyle="1" w:styleId="Plaingrid">
    <w:name w:val="Plain grid"/>
    <w:basedOn w:val="TableNormal"/>
    <w:uiPriority w:val="99"/>
    <w:semiHidden/>
    <w:unhideWhenUsed/>
    <w:rsid w:val="00E772F5"/>
    <w:tblPr>
      <w:tblCellMar>
        <w:left w:w="0" w:type="dxa"/>
      </w:tblCellMar>
    </w:tblPr>
  </w:style>
  <w:style w:type="paragraph" w:styleId="Title">
    <w:name w:val="Title"/>
    <w:basedOn w:val="Normal"/>
    <w:next w:val="Normal"/>
    <w:link w:val="TitleChar"/>
    <w:uiPriority w:val="10"/>
    <w:semiHidden/>
    <w:unhideWhenUsed/>
    <w:rsid w:val="00AA75D4"/>
    <w:pPr>
      <w:spacing w:after="300" w:line="240" w:lineRule="auto"/>
      <w:contextualSpacing/>
    </w:pPr>
    <w:rPr>
      <w:rFonts w:asciiTheme="majorHAnsi" w:eastAsiaTheme="majorEastAsia" w:hAnsiTheme="majorHAnsi" w:cstheme="majorBidi"/>
      <w:color w:val="FFFFFF" w:themeColor="background1"/>
      <w:kern w:val="28"/>
      <w:sz w:val="48"/>
      <w:szCs w:val="52"/>
    </w:rPr>
  </w:style>
  <w:style w:type="character" w:customStyle="1" w:styleId="TitleChar">
    <w:name w:val="Title Char"/>
    <w:basedOn w:val="DefaultParagraphFont"/>
    <w:link w:val="Title"/>
    <w:uiPriority w:val="10"/>
    <w:semiHidden/>
    <w:rsid w:val="00F66A91"/>
    <w:rPr>
      <w:rFonts w:asciiTheme="majorHAnsi" w:eastAsiaTheme="majorEastAsia" w:hAnsiTheme="majorHAnsi" w:cstheme="majorBidi"/>
      <w:color w:val="FFFFFF" w:themeColor="background1"/>
      <w:kern w:val="28"/>
      <w:sz w:val="48"/>
      <w:szCs w:val="52"/>
    </w:rPr>
  </w:style>
  <w:style w:type="paragraph" w:styleId="TOCHeading">
    <w:name w:val="TOC Heading"/>
    <w:basedOn w:val="Heading1"/>
    <w:next w:val="Normal"/>
    <w:uiPriority w:val="39"/>
    <w:unhideWhenUsed/>
    <w:rsid w:val="000D13AF"/>
    <w:pPr>
      <w:spacing w:line="240" w:lineRule="atLeast"/>
      <w:ind w:left="0" w:firstLine="0"/>
      <w:outlineLvl w:val="9"/>
    </w:pPr>
    <w:rPr>
      <w:sz w:val="28"/>
    </w:rPr>
  </w:style>
  <w:style w:type="paragraph" w:styleId="Subtitle">
    <w:name w:val="Subtitle"/>
    <w:basedOn w:val="Normal"/>
    <w:next w:val="Normal"/>
    <w:link w:val="SubtitleChar"/>
    <w:uiPriority w:val="11"/>
    <w:unhideWhenUsed/>
    <w:rsid w:val="00AA75D4"/>
    <w:pPr>
      <w:numPr>
        <w:ilvl w:val="1"/>
      </w:numPr>
    </w:pPr>
    <w:rPr>
      <w:rFonts w:asciiTheme="majorHAnsi" w:eastAsiaTheme="majorEastAsia" w:hAnsiTheme="majorHAnsi" w:cstheme="majorBidi"/>
      <w:iCs/>
      <w:color w:val="FFFFFF" w:themeColor="background1"/>
      <w:sz w:val="24"/>
      <w:szCs w:val="24"/>
    </w:rPr>
  </w:style>
  <w:style w:type="character" w:customStyle="1" w:styleId="SubtitleChar">
    <w:name w:val="Subtitle Char"/>
    <w:basedOn w:val="DefaultParagraphFont"/>
    <w:link w:val="Subtitle"/>
    <w:uiPriority w:val="11"/>
    <w:rsid w:val="00F66A91"/>
    <w:rPr>
      <w:rFonts w:asciiTheme="majorHAnsi" w:eastAsiaTheme="majorEastAsia" w:hAnsiTheme="majorHAnsi" w:cstheme="majorBidi"/>
      <w:iCs/>
      <w:color w:val="FFFFFF" w:themeColor="background1"/>
      <w:kern w:val="18"/>
      <w:sz w:val="24"/>
      <w:szCs w:val="24"/>
    </w:rPr>
  </w:style>
  <w:style w:type="paragraph" w:styleId="TOC1">
    <w:name w:val="toc 1"/>
    <w:basedOn w:val="Normal"/>
    <w:next w:val="Normal"/>
    <w:autoRedefine/>
    <w:uiPriority w:val="39"/>
    <w:unhideWhenUsed/>
    <w:rsid w:val="003964F2"/>
    <w:pPr>
      <w:tabs>
        <w:tab w:val="clear" w:pos="284"/>
      </w:tabs>
      <w:spacing w:before="240" w:after="120"/>
    </w:pPr>
    <w:rPr>
      <w:rFonts w:cstheme="minorHAnsi"/>
      <w:b/>
      <w:bCs/>
      <w:sz w:val="20"/>
      <w:szCs w:val="20"/>
    </w:rPr>
  </w:style>
  <w:style w:type="paragraph" w:styleId="TOC2">
    <w:name w:val="toc 2"/>
    <w:basedOn w:val="Normal"/>
    <w:next w:val="Normal"/>
    <w:autoRedefine/>
    <w:uiPriority w:val="39"/>
    <w:unhideWhenUsed/>
    <w:rsid w:val="003964F2"/>
    <w:pPr>
      <w:tabs>
        <w:tab w:val="clear" w:pos="284"/>
      </w:tabs>
      <w:spacing w:before="120"/>
      <w:ind w:left="180"/>
    </w:pPr>
    <w:rPr>
      <w:rFonts w:cstheme="minorHAnsi"/>
      <w:i/>
      <w:iCs/>
      <w:sz w:val="20"/>
      <w:szCs w:val="20"/>
    </w:rPr>
  </w:style>
  <w:style w:type="paragraph" w:styleId="TOC3">
    <w:name w:val="toc 3"/>
    <w:basedOn w:val="Normal"/>
    <w:next w:val="Normal"/>
    <w:autoRedefine/>
    <w:uiPriority w:val="39"/>
    <w:unhideWhenUsed/>
    <w:rsid w:val="003964F2"/>
    <w:pPr>
      <w:tabs>
        <w:tab w:val="clear" w:pos="284"/>
      </w:tabs>
      <w:ind w:left="360"/>
    </w:pPr>
    <w:rPr>
      <w:rFonts w:cstheme="minorHAnsi"/>
      <w:sz w:val="20"/>
      <w:szCs w:val="20"/>
    </w:rPr>
  </w:style>
  <w:style w:type="paragraph" w:customStyle="1" w:styleId="Coverdata">
    <w:name w:val="Cover data"/>
    <w:basedOn w:val="Subtitle"/>
    <w:uiPriority w:val="1"/>
    <w:semiHidden/>
    <w:unhideWhenUsed/>
    <w:rsid w:val="00DA79BC"/>
    <w:pPr>
      <w:jc w:val="right"/>
    </w:pPr>
    <w:rPr>
      <w:sz w:val="16"/>
    </w:rPr>
  </w:style>
  <w:style w:type="paragraph" w:customStyle="1" w:styleId="Coverfooter">
    <w:name w:val="Cover footer"/>
    <w:basedOn w:val="Coverdata"/>
    <w:uiPriority w:val="1"/>
    <w:unhideWhenUsed/>
    <w:rsid w:val="00B97816"/>
    <w:pPr>
      <w:spacing w:line="200" w:lineRule="atLeast"/>
      <w:jc w:val="left"/>
    </w:pPr>
    <w:rPr>
      <w:rFonts w:asciiTheme="minorHAnsi" w:hAnsiTheme="minorHAnsi"/>
    </w:rPr>
  </w:style>
  <w:style w:type="paragraph" w:customStyle="1" w:styleId="Subtitleheading">
    <w:name w:val="Subtitle heading"/>
    <w:basedOn w:val="Subtitle"/>
    <w:uiPriority w:val="1"/>
    <w:semiHidden/>
    <w:unhideWhenUsed/>
    <w:rsid w:val="00AA75D4"/>
  </w:style>
  <w:style w:type="character" w:styleId="Strong">
    <w:name w:val="Strong"/>
    <w:basedOn w:val="DefaultParagraphFont"/>
    <w:uiPriority w:val="22"/>
    <w:semiHidden/>
    <w:unhideWhenUsed/>
    <w:rsid w:val="00542F08"/>
    <w:rPr>
      <w:b/>
      <w:bCs/>
    </w:rPr>
  </w:style>
  <w:style w:type="paragraph" w:styleId="CommentText">
    <w:name w:val="annotation text"/>
    <w:basedOn w:val="Normal"/>
    <w:link w:val="CommentTextChar"/>
    <w:uiPriority w:val="99"/>
    <w:semiHidden/>
    <w:unhideWhenUsed/>
    <w:rsid w:val="00542F08"/>
    <w:pPr>
      <w:spacing w:line="240" w:lineRule="auto"/>
    </w:pPr>
    <w:rPr>
      <w:sz w:val="20"/>
      <w:szCs w:val="20"/>
    </w:rPr>
  </w:style>
  <w:style w:type="character" w:customStyle="1" w:styleId="CommentTextChar">
    <w:name w:val="Comment Text Char"/>
    <w:basedOn w:val="DefaultParagraphFont"/>
    <w:link w:val="CommentText"/>
    <w:uiPriority w:val="99"/>
    <w:semiHidden/>
    <w:rsid w:val="00F66A91"/>
    <w:rPr>
      <w:kern w:val="18"/>
      <w:sz w:val="20"/>
      <w:szCs w:val="20"/>
    </w:rPr>
  </w:style>
  <w:style w:type="paragraph" w:styleId="CommentSubject">
    <w:name w:val="annotation subject"/>
    <w:basedOn w:val="CommentText"/>
    <w:next w:val="CommentText"/>
    <w:link w:val="CommentSubjectChar"/>
    <w:uiPriority w:val="99"/>
    <w:semiHidden/>
    <w:unhideWhenUsed/>
    <w:rsid w:val="00542F08"/>
    <w:rPr>
      <w:b/>
      <w:bCs/>
    </w:rPr>
  </w:style>
  <w:style w:type="character" w:customStyle="1" w:styleId="CommentSubjectChar">
    <w:name w:val="Comment Subject Char"/>
    <w:basedOn w:val="CommentTextChar"/>
    <w:link w:val="CommentSubject"/>
    <w:uiPriority w:val="99"/>
    <w:semiHidden/>
    <w:rsid w:val="00F66A91"/>
    <w:rPr>
      <w:b/>
      <w:bCs/>
      <w:kern w:val="18"/>
      <w:sz w:val="20"/>
      <w:szCs w:val="20"/>
    </w:rPr>
  </w:style>
  <w:style w:type="paragraph" w:customStyle="1" w:styleId="Heading">
    <w:name w:val="Heading"/>
    <w:basedOn w:val="BodyText"/>
    <w:next w:val="BodyText"/>
    <w:uiPriority w:val="1"/>
    <w:unhideWhenUsed/>
    <w:rsid w:val="008952D6"/>
    <w:pPr>
      <w:spacing w:after="120"/>
    </w:pPr>
    <w:rPr>
      <w:rFonts w:asciiTheme="majorHAnsi" w:hAnsiTheme="majorHAnsi" w:cstheme="majorHAnsi"/>
      <w:color w:val="000000" w:themeColor="text2"/>
      <w:sz w:val="24"/>
    </w:rPr>
  </w:style>
  <w:style w:type="paragraph" w:styleId="TableofFigures">
    <w:name w:val="table of figures"/>
    <w:basedOn w:val="Normal"/>
    <w:next w:val="Normal"/>
    <w:uiPriority w:val="99"/>
    <w:unhideWhenUsed/>
    <w:rsid w:val="00A34EE8"/>
    <w:pPr>
      <w:tabs>
        <w:tab w:val="clear" w:pos="284"/>
        <w:tab w:val="right" w:leader="dot" w:pos="9360"/>
      </w:tabs>
    </w:pPr>
  </w:style>
  <w:style w:type="numbering" w:customStyle="1" w:styleId="AECOMSectionnumbering">
    <w:name w:val="AECOM Section numbering"/>
    <w:uiPriority w:val="99"/>
    <w:semiHidden/>
    <w:unhideWhenUsed/>
    <w:rsid w:val="0055609F"/>
    <w:pPr>
      <w:numPr>
        <w:numId w:val="10"/>
      </w:numPr>
    </w:pPr>
  </w:style>
  <w:style w:type="paragraph" w:styleId="BalloonText">
    <w:name w:val="Balloon Text"/>
    <w:basedOn w:val="Normal"/>
    <w:link w:val="BalloonTextChar"/>
    <w:uiPriority w:val="99"/>
    <w:semiHidden/>
    <w:unhideWhenUsed/>
    <w:rsid w:val="00F97FCB"/>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66A91"/>
    <w:rPr>
      <w:rFonts w:ascii="Tahoma" w:hAnsi="Tahoma" w:cs="Tahoma"/>
      <w:kern w:val="18"/>
      <w:sz w:val="16"/>
      <w:szCs w:val="16"/>
    </w:rPr>
  </w:style>
  <w:style w:type="paragraph" w:styleId="Quote">
    <w:name w:val="Quote"/>
    <w:basedOn w:val="Normal"/>
    <w:next w:val="Normal"/>
    <w:link w:val="QuoteChar"/>
    <w:uiPriority w:val="22"/>
    <w:qFormat/>
    <w:rsid w:val="00854622"/>
    <w:pPr>
      <w:spacing w:after="120"/>
      <w:ind w:left="851" w:right="567"/>
    </w:pPr>
    <w:rPr>
      <w:i/>
      <w:iCs/>
      <w:color w:val="000000" w:themeColor="text1"/>
    </w:rPr>
  </w:style>
  <w:style w:type="character" w:customStyle="1" w:styleId="QuoteChar">
    <w:name w:val="Quote Char"/>
    <w:basedOn w:val="DefaultParagraphFont"/>
    <w:link w:val="Quote"/>
    <w:uiPriority w:val="20"/>
    <w:semiHidden/>
    <w:rsid w:val="00F66A91"/>
    <w:rPr>
      <w:i/>
      <w:iCs/>
      <w:color w:val="000000" w:themeColor="text1"/>
      <w:kern w:val="18"/>
    </w:rPr>
  </w:style>
  <w:style w:type="numbering" w:styleId="111111">
    <w:name w:val="Outline List 2"/>
    <w:basedOn w:val="NoList"/>
    <w:uiPriority w:val="99"/>
    <w:semiHidden/>
    <w:unhideWhenUsed/>
    <w:rsid w:val="004C255D"/>
    <w:pPr>
      <w:numPr>
        <w:numId w:val="11"/>
      </w:numPr>
    </w:pPr>
  </w:style>
  <w:style w:type="numbering" w:styleId="1ai">
    <w:name w:val="Outline List 1"/>
    <w:basedOn w:val="NoList"/>
    <w:uiPriority w:val="99"/>
    <w:semiHidden/>
    <w:unhideWhenUsed/>
    <w:rsid w:val="004C255D"/>
    <w:pPr>
      <w:numPr>
        <w:numId w:val="12"/>
      </w:numPr>
    </w:pPr>
  </w:style>
  <w:style w:type="numbering" w:styleId="ArticleSection">
    <w:name w:val="Outline List 3"/>
    <w:basedOn w:val="NoList"/>
    <w:uiPriority w:val="99"/>
    <w:semiHidden/>
    <w:unhideWhenUsed/>
    <w:rsid w:val="004C255D"/>
    <w:pPr>
      <w:numPr>
        <w:numId w:val="13"/>
      </w:numPr>
    </w:pPr>
  </w:style>
  <w:style w:type="paragraph" w:styleId="Bibliography">
    <w:name w:val="Bibliography"/>
    <w:basedOn w:val="Normal"/>
    <w:next w:val="Normal"/>
    <w:uiPriority w:val="37"/>
    <w:semiHidden/>
    <w:unhideWhenUsed/>
    <w:rsid w:val="004C255D"/>
  </w:style>
  <w:style w:type="paragraph" w:styleId="BlockText">
    <w:name w:val="Block Text"/>
    <w:basedOn w:val="Normal"/>
    <w:uiPriority w:val="99"/>
    <w:semiHidden/>
    <w:unhideWhenUsed/>
    <w:rsid w:val="004C255D"/>
    <w:pPr>
      <w:pBdr>
        <w:top w:val="single" w:sz="2" w:space="10" w:color="00B5E2" w:themeColor="accent1" w:shadow="1" w:frame="1"/>
        <w:left w:val="single" w:sz="2" w:space="10" w:color="00B5E2" w:themeColor="accent1" w:shadow="1" w:frame="1"/>
        <w:bottom w:val="single" w:sz="2" w:space="10" w:color="00B5E2" w:themeColor="accent1" w:shadow="1" w:frame="1"/>
        <w:right w:val="single" w:sz="2" w:space="10" w:color="00B5E2" w:themeColor="accent1" w:shadow="1" w:frame="1"/>
      </w:pBdr>
      <w:ind w:left="1152" w:right="1152"/>
    </w:pPr>
    <w:rPr>
      <w:rFonts w:eastAsiaTheme="minorEastAsia"/>
      <w:i/>
      <w:iCs/>
      <w:color w:val="00B5E2" w:themeColor="accent1"/>
    </w:rPr>
  </w:style>
  <w:style w:type="paragraph" w:styleId="BodyText2">
    <w:name w:val="Body Text 2"/>
    <w:basedOn w:val="Normal"/>
    <w:link w:val="BodyText2Char"/>
    <w:uiPriority w:val="99"/>
    <w:semiHidden/>
    <w:unhideWhenUsed/>
    <w:rsid w:val="004C255D"/>
    <w:pPr>
      <w:spacing w:after="120" w:line="480" w:lineRule="auto"/>
    </w:pPr>
  </w:style>
  <w:style w:type="character" w:customStyle="1" w:styleId="BodyText2Char">
    <w:name w:val="Body Text 2 Char"/>
    <w:basedOn w:val="DefaultParagraphFont"/>
    <w:link w:val="BodyText2"/>
    <w:uiPriority w:val="99"/>
    <w:semiHidden/>
    <w:rsid w:val="00F66A91"/>
    <w:rPr>
      <w:kern w:val="18"/>
    </w:rPr>
  </w:style>
  <w:style w:type="paragraph" w:styleId="BodyText3">
    <w:name w:val="Body Text 3"/>
    <w:basedOn w:val="Normal"/>
    <w:link w:val="BodyText3Char"/>
    <w:uiPriority w:val="99"/>
    <w:semiHidden/>
    <w:unhideWhenUsed/>
    <w:rsid w:val="004C255D"/>
    <w:pPr>
      <w:spacing w:after="120"/>
    </w:pPr>
    <w:rPr>
      <w:sz w:val="16"/>
      <w:szCs w:val="16"/>
    </w:rPr>
  </w:style>
  <w:style w:type="character" w:customStyle="1" w:styleId="BodyText3Char">
    <w:name w:val="Body Text 3 Char"/>
    <w:basedOn w:val="DefaultParagraphFont"/>
    <w:link w:val="BodyText3"/>
    <w:uiPriority w:val="99"/>
    <w:semiHidden/>
    <w:rsid w:val="00F66A91"/>
    <w:rPr>
      <w:kern w:val="18"/>
      <w:sz w:val="16"/>
      <w:szCs w:val="16"/>
    </w:rPr>
  </w:style>
  <w:style w:type="paragraph" w:styleId="BodyTextFirstIndent">
    <w:name w:val="Body Text First Indent"/>
    <w:basedOn w:val="BodyText"/>
    <w:link w:val="BodyTextFirstIndentChar"/>
    <w:uiPriority w:val="99"/>
    <w:semiHidden/>
    <w:unhideWhenUsed/>
    <w:rsid w:val="004C255D"/>
    <w:pPr>
      <w:spacing w:after="0"/>
      <w:ind w:firstLine="360"/>
    </w:pPr>
  </w:style>
  <w:style w:type="character" w:customStyle="1" w:styleId="BodyTextFirstIndentChar">
    <w:name w:val="Body Text First Indent Char"/>
    <w:basedOn w:val="BodyTextChar"/>
    <w:link w:val="BodyTextFirstIndent"/>
    <w:uiPriority w:val="99"/>
    <w:semiHidden/>
    <w:rsid w:val="00F66A91"/>
    <w:rPr>
      <w:kern w:val="18"/>
    </w:rPr>
  </w:style>
  <w:style w:type="paragraph" w:styleId="BodyTextIndent">
    <w:name w:val="Body Text Indent"/>
    <w:basedOn w:val="Normal"/>
    <w:link w:val="BodyTextIndentChar"/>
    <w:uiPriority w:val="99"/>
    <w:semiHidden/>
    <w:unhideWhenUsed/>
    <w:rsid w:val="004C255D"/>
    <w:pPr>
      <w:spacing w:after="120"/>
      <w:ind w:left="283"/>
    </w:pPr>
  </w:style>
  <w:style w:type="character" w:customStyle="1" w:styleId="BodyTextIndentChar">
    <w:name w:val="Body Text Indent Char"/>
    <w:basedOn w:val="DefaultParagraphFont"/>
    <w:link w:val="BodyTextIndent"/>
    <w:uiPriority w:val="99"/>
    <w:semiHidden/>
    <w:rsid w:val="00F66A91"/>
    <w:rPr>
      <w:kern w:val="18"/>
    </w:rPr>
  </w:style>
  <w:style w:type="paragraph" w:styleId="BodyTextFirstIndent2">
    <w:name w:val="Body Text First Indent 2"/>
    <w:basedOn w:val="BodyTextIndent"/>
    <w:link w:val="BodyTextFirstIndent2Char"/>
    <w:uiPriority w:val="99"/>
    <w:semiHidden/>
    <w:unhideWhenUsed/>
    <w:rsid w:val="004C255D"/>
    <w:pPr>
      <w:spacing w:after="0"/>
      <w:ind w:left="360" w:firstLine="360"/>
    </w:pPr>
  </w:style>
  <w:style w:type="character" w:customStyle="1" w:styleId="BodyTextFirstIndent2Char">
    <w:name w:val="Body Text First Indent 2 Char"/>
    <w:basedOn w:val="BodyTextIndentChar"/>
    <w:link w:val="BodyTextFirstIndent2"/>
    <w:uiPriority w:val="99"/>
    <w:semiHidden/>
    <w:rsid w:val="00F66A91"/>
    <w:rPr>
      <w:kern w:val="18"/>
    </w:rPr>
  </w:style>
  <w:style w:type="paragraph" w:styleId="BodyTextIndent2">
    <w:name w:val="Body Text Indent 2"/>
    <w:basedOn w:val="Normal"/>
    <w:link w:val="BodyTextIndent2Char"/>
    <w:uiPriority w:val="99"/>
    <w:semiHidden/>
    <w:unhideWhenUsed/>
    <w:rsid w:val="004C255D"/>
    <w:pPr>
      <w:spacing w:after="120" w:line="480" w:lineRule="auto"/>
      <w:ind w:left="283"/>
    </w:pPr>
  </w:style>
  <w:style w:type="character" w:customStyle="1" w:styleId="BodyTextIndent2Char">
    <w:name w:val="Body Text Indent 2 Char"/>
    <w:basedOn w:val="DefaultParagraphFont"/>
    <w:link w:val="BodyTextIndent2"/>
    <w:uiPriority w:val="99"/>
    <w:semiHidden/>
    <w:rsid w:val="00F66A91"/>
    <w:rPr>
      <w:kern w:val="18"/>
    </w:rPr>
  </w:style>
  <w:style w:type="paragraph" w:styleId="BodyTextIndent3">
    <w:name w:val="Body Text Indent 3"/>
    <w:basedOn w:val="Normal"/>
    <w:link w:val="BodyTextIndent3Char"/>
    <w:uiPriority w:val="99"/>
    <w:semiHidden/>
    <w:unhideWhenUsed/>
    <w:rsid w:val="004C255D"/>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F66A91"/>
    <w:rPr>
      <w:kern w:val="18"/>
      <w:sz w:val="16"/>
      <w:szCs w:val="16"/>
    </w:rPr>
  </w:style>
  <w:style w:type="character" w:styleId="BookTitle">
    <w:name w:val="Book Title"/>
    <w:basedOn w:val="DefaultParagraphFont"/>
    <w:uiPriority w:val="33"/>
    <w:semiHidden/>
    <w:unhideWhenUsed/>
    <w:rsid w:val="004C255D"/>
    <w:rPr>
      <w:b/>
      <w:bCs/>
      <w:smallCaps/>
      <w:spacing w:val="5"/>
    </w:rPr>
  </w:style>
  <w:style w:type="paragraph" w:styleId="Closing">
    <w:name w:val="Closing"/>
    <w:basedOn w:val="Normal"/>
    <w:link w:val="ClosingChar"/>
    <w:uiPriority w:val="99"/>
    <w:semiHidden/>
    <w:unhideWhenUsed/>
    <w:rsid w:val="004C255D"/>
    <w:pPr>
      <w:spacing w:line="240" w:lineRule="auto"/>
      <w:ind w:left="4252"/>
    </w:pPr>
  </w:style>
  <w:style w:type="character" w:customStyle="1" w:styleId="ClosingChar">
    <w:name w:val="Closing Char"/>
    <w:basedOn w:val="DefaultParagraphFont"/>
    <w:link w:val="Closing"/>
    <w:uiPriority w:val="99"/>
    <w:semiHidden/>
    <w:rsid w:val="00F66A91"/>
    <w:rPr>
      <w:kern w:val="18"/>
    </w:rPr>
  </w:style>
  <w:style w:type="character" w:styleId="CommentReference">
    <w:name w:val="annotation reference"/>
    <w:basedOn w:val="DefaultParagraphFont"/>
    <w:uiPriority w:val="99"/>
    <w:semiHidden/>
    <w:unhideWhenUsed/>
    <w:rsid w:val="004C255D"/>
    <w:rPr>
      <w:sz w:val="16"/>
      <w:szCs w:val="16"/>
    </w:rPr>
  </w:style>
  <w:style w:type="paragraph" w:styleId="Date">
    <w:name w:val="Date"/>
    <w:basedOn w:val="Normal"/>
    <w:next w:val="Normal"/>
    <w:link w:val="DateChar"/>
    <w:uiPriority w:val="99"/>
    <w:semiHidden/>
    <w:unhideWhenUsed/>
    <w:rsid w:val="004C255D"/>
  </w:style>
  <w:style w:type="character" w:customStyle="1" w:styleId="DateChar">
    <w:name w:val="Date Char"/>
    <w:basedOn w:val="DefaultParagraphFont"/>
    <w:link w:val="Date"/>
    <w:uiPriority w:val="99"/>
    <w:semiHidden/>
    <w:rsid w:val="00F66A91"/>
    <w:rPr>
      <w:kern w:val="18"/>
    </w:rPr>
  </w:style>
  <w:style w:type="paragraph" w:styleId="DocumentMap">
    <w:name w:val="Document Map"/>
    <w:basedOn w:val="Normal"/>
    <w:link w:val="DocumentMapChar"/>
    <w:uiPriority w:val="99"/>
    <w:semiHidden/>
    <w:unhideWhenUsed/>
    <w:rsid w:val="004C255D"/>
    <w:pPr>
      <w:spacing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F66A91"/>
    <w:rPr>
      <w:rFonts w:ascii="Tahoma" w:hAnsi="Tahoma" w:cs="Tahoma"/>
      <w:kern w:val="18"/>
      <w:sz w:val="16"/>
      <w:szCs w:val="16"/>
    </w:rPr>
  </w:style>
  <w:style w:type="paragraph" w:styleId="E-mailSignature">
    <w:name w:val="E-mail Signature"/>
    <w:basedOn w:val="Normal"/>
    <w:link w:val="E-mailSignatureChar"/>
    <w:uiPriority w:val="99"/>
    <w:semiHidden/>
    <w:unhideWhenUsed/>
    <w:rsid w:val="004C255D"/>
    <w:pPr>
      <w:spacing w:line="240" w:lineRule="auto"/>
    </w:pPr>
  </w:style>
  <w:style w:type="character" w:customStyle="1" w:styleId="E-mailSignatureChar">
    <w:name w:val="E-mail Signature Char"/>
    <w:basedOn w:val="DefaultParagraphFont"/>
    <w:link w:val="E-mailSignature"/>
    <w:uiPriority w:val="99"/>
    <w:semiHidden/>
    <w:rsid w:val="00F66A91"/>
    <w:rPr>
      <w:kern w:val="18"/>
    </w:rPr>
  </w:style>
  <w:style w:type="character" w:styleId="Emphasis">
    <w:name w:val="Emphasis"/>
    <w:basedOn w:val="DefaultParagraphFont"/>
    <w:uiPriority w:val="20"/>
    <w:semiHidden/>
    <w:unhideWhenUsed/>
    <w:rsid w:val="004C255D"/>
    <w:rPr>
      <w:i/>
      <w:iCs/>
    </w:rPr>
  </w:style>
  <w:style w:type="character" w:styleId="EndnoteReference">
    <w:name w:val="endnote reference"/>
    <w:basedOn w:val="DefaultParagraphFont"/>
    <w:uiPriority w:val="99"/>
    <w:semiHidden/>
    <w:unhideWhenUsed/>
    <w:rsid w:val="004C255D"/>
    <w:rPr>
      <w:vertAlign w:val="superscript"/>
    </w:rPr>
  </w:style>
  <w:style w:type="paragraph" w:styleId="EndnoteText">
    <w:name w:val="endnote text"/>
    <w:basedOn w:val="Normal"/>
    <w:link w:val="EndnoteTextChar"/>
    <w:uiPriority w:val="99"/>
    <w:semiHidden/>
    <w:unhideWhenUsed/>
    <w:rsid w:val="004C255D"/>
    <w:pPr>
      <w:spacing w:line="240" w:lineRule="auto"/>
    </w:pPr>
    <w:rPr>
      <w:sz w:val="20"/>
      <w:szCs w:val="20"/>
    </w:rPr>
  </w:style>
  <w:style w:type="character" w:customStyle="1" w:styleId="EndnoteTextChar">
    <w:name w:val="Endnote Text Char"/>
    <w:basedOn w:val="DefaultParagraphFont"/>
    <w:link w:val="EndnoteText"/>
    <w:uiPriority w:val="99"/>
    <w:semiHidden/>
    <w:rsid w:val="00F66A91"/>
    <w:rPr>
      <w:kern w:val="18"/>
      <w:sz w:val="20"/>
      <w:szCs w:val="20"/>
    </w:rPr>
  </w:style>
  <w:style w:type="paragraph" w:styleId="EnvelopeAddress">
    <w:name w:val="envelope address"/>
    <w:basedOn w:val="Normal"/>
    <w:uiPriority w:val="99"/>
    <w:semiHidden/>
    <w:unhideWhenUsed/>
    <w:rsid w:val="004C255D"/>
    <w:pPr>
      <w:framePr w:w="7920" w:h="1980" w:hRule="exact" w:hSpace="180" w:wrap="auto" w:hAnchor="page" w:xAlign="center" w:yAlign="bottom"/>
      <w:spacing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4C255D"/>
    <w:pPr>
      <w:spacing w:line="240" w:lineRule="auto"/>
    </w:pPr>
    <w:rPr>
      <w:rFonts w:asciiTheme="majorHAnsi" w:eastAsiaTheme="majorEastAsia" w:hAnsiTheme="majorHAnsi" w:cstheme="majorBidi"/>
      <w:sz w:val="20"/>
      <w:szCs w:val="20"/>
    </w:rPr>
  </w:style>
  <w:style w:type="character" w:styleId="HTMLAcronym">
    <w:name w:val="HTML Acronym"/>
    <w:basedOn w:val="DefaultParagraphFont"/>
    <w:uiPriority w:val="99"/>
    <w:semiHidden/>
    <w:unhideWhenUsed/>
    <w:rsid w:val="004C255D"/>
  </w:style>
  <w:style w:type="paragraph" w:styleId="HTMLAddress">
    <w:name w:val="HTML Address"/>
    <w:basedOn w:val="Normal"/>
    <w:link w:val="HTMLAddressChar"/>
    <w:uiPriority w:val="99"/>
    <w:semiHidden/>
    <w:unhideWhenUsed/>
    <w:rsid w:val="004C255D"/>
    <w:pPr>
      <w:spacing w:line="240" w:lineRule="auto"/>
    </w:pPr>
    <w:rPr>
      <w:i/>
      <w:iCs/>
    </w:rPr>
  </w:style>
  <w:style w:type="character" w:customStyle="1" w:styleId="HTMLAddressChar">
    <w:name w:val="HTML Address Char"/>
    <w:basedOn w:val="DefaultParagraphFont"/>
    <w:link w:val="HTMLAddress"/>
    <w:uiPriority w:val="99"/>
    <w:semiHidden/>
    <w:rsid w:val="00F66A91"/>
    <w:rPr>
      <w:i/>
      <w:iCs/>
      <w:kern w:val="18"/>
    </w:rPr>
  </w:style>
  <w:style w:type="character" w:styleId="HTMLCite">
    <w:name w:val="HTML Cite"/>
    <w:basedOn w:val="DefaultParagraphFont"/>
    <w:uiPriority w:val="99"/>
    <w:semiHidden/>
    <w:unhideWhenUsed/>
    <w:rsid w:val="004C255D"/>
    <w:rPr>
      <w:i/>
      <w:iCs/>
    </w:rPr>
  </w:style>
  <w:style w:type="character" w:styleId="HTMLCode">
    <w:name w:val="HTML Code"/>
    <w:basedOn w:val="DefaultParagraphFont"/>
    <w:uiPriority w:val="99"/>
    <w:semiHidden/>
    <w:unhideWhenUsed/>
    <w:rsid w:val="004C255D"/>
    <w:rPr>
      <w:rFonts w:ascii="Consolas" w:hAnsi="Consolas"/>
      <w:sz w:val="20"/>
      <w:szCs w:val="20"/>
    </w:rPr>
  </w:style>
  <w:style w:type="character" w:styleId="HTMLDefinition">
    <w:name w:val="HTML Definition"/>
    <w:basedOn w:val="DefaultParagraphFont"/>
    <w:uiPriority w:val="99"/>
    <w:semiHidden/>
    <w:unhideWhenUsed/>
    <w:rsid w:val="004C255D"/>
    <w:rPr>
      <w:i/>
      <w:iCs/>
    </w:rPr>
  </w:style>
  <w:style w:type="character" w:styleId="HTMLKeyboard">
    <w:name w:val="HTML Keyboard"/>
    <w:basedOn w:val="DefaultParagraphFont"/>
    <w:uiPriority w:val="99"/>
    <w:semiHidden/>
    <w:unhideWhenUsed/>
    <w:rsid w:val="004C255D"/>
    <w:rPr>
      <w:rFonts w:ascii="Consolas" w:hAnsi="Consolas"/>
      <w:sz w:val="20"/>
      <w:szCs w:val="20"/>
    </w:rPr>
  </w:style>
  <w:style w:type="paragraph" w:styleId="HTMLPreformatted">
    <w:name w:val="HTML Preformatted"/>
    <w:basedOn w:val="Normal"/>
    <w:link w:val="HTMLPreformattedChar"/>
    <w:uiPriority w:val="99"/>
    <w:semiHidden/>
    <w:unhideWhenUsed/>
    <w:rsid w:val="004C255D"/>
    <w:pPr>
      <w:spacing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F66A91"/>
    <w:rPr>
      <w:rFonts w:ascii="Consolas" w:hAnsi="Consolas"/>
      <w:kern w:val="18"/>
      <w:sz w:val="20"/>
      <w:szCs w:val="20"/>
    </w:rPr>
  </w:style>
  <w:style w:type="character" w:styleId="HTMLSample">
    <w:name w:val="HTML Sample"/>
    <w:basedOn w:val="DefaultParagraphFont"/>
    <w:uiPriority w:val="99"/>
    <w:semiHidden/>
    <w:unhideWhenUsed/>
    <w:rsid w:val="004C255D"/>
    <w:rPr>
      <w:rFonts w:ascii="Consolas" w:hAnsi="Consolas"/>
      <w:sz w:val="24"/>
      <w:szCs w:val="24"/>
    </w:rPr>
  </w:style>
  <w:style w:type="character" w:styleId="HTMLTypewriter">
    <w:name w:val="HTML Typewriter"/>
    <w:basedOn w:val="DefaultParagraphFont"/>
    <w:uiPriority w:val="99"/>
    <w:semiHidden/>
    <w:unhideWhenUsed/>
    <w:rsid w:val="004C255D"/>
    <w:rPr>
      <w:rFonts w:ascii="Consolas" w:hAnsi="Consolas"/>
      <w:sz w:val="20"/>
      <w:szCs w:val="20"/>
    </w:rPr>
  </w:style>
  <w:style w:type="character" w:styleId="HTMLVariable">
    <w:name w:val="HTML Variable"/>
    <w:basedOn w:val="DefaultParagraphFont"/>
    <w:uiPriority w:val="99"/>
    <w:semiHidden/>
    <w:unhideWhenUsed/>
    <w:rsid w:val="004C255D"/>
    <w:rPr>
      <w:i/>
      <w:iCs/>
    </w:rPr>
  </w:style>
  <w:style w:type="paragraph" w:styleId="Index1">
    <w:name w:val="index 1"/>
    <w:basedOn w:val="Normal"/>
    <w:next w:val="Normal"/>
    <w:autoRedefine/>
    <w:uiPriority w:val="99"/>
    <w:semiHidden/>
    <w:unhideWhenUsed/>
    <w:rsid w:val="004C255D"/>
    <w:pPr>
      <w:tabs>
        <w:tab w:val="clear" w:pos="284"/>
      </w:tabs>
      <w:spacing w:line="240" w:lineRule="auto"/>
      <w:ind w:left="180" w:hanging="180"/>
    </w:pPr>
  </w:style>
  <w:style w:type="paragraph" w:styleId="Index2">
    <w:name w:val="index 2"/>
    <w:basedOn w:val="Normal"/>
    <w:next w:val="Normal"/>
    <w:autoRedefine/>
    <w:uiPriority w:val="99"/>
    <w:semiHidden/>
    <w:unhideWhenUsed/>
    <w:rsid w:val="004C255D"/>
    <w:pPr>
      <w:tabs>
        <w:tab w:val="clear" w:pos="284"/>
      </w:tabs>
      <w:spacing w:line="240" w:lineRule="auto"/>
      <w:ind w:left="360" w:hanging="180"/>
    </w:pPr>
  </w:style>
  <w:style w:type="paragraph" w:styleId="Index3">
    <w:name w:val="index 3"/>
    <w:basedOn w:val="Normal"/>
    <w:next w:val="Normal"/>
    <w:autoRedefine/>
    <w:uiPriority w:val="99"/>
    <w:semiHidden/>
    <w:unhideWhenUsed/>
    <w:rsid w:val="004C255D"/>
    <w:pPr>
      <w:tabs>
        <w:tab w:val="clear" w:pos="284"/>
      </w:tabs>
      <w:spacing w:line="240" w:lineRule="auto"/>
      <w:ind w:left="540" w:hanging="180"/>
    </w:pPr>
  </w:style>
  <w:style w:type="paragraph" w:styleId="Index4">
    <w:name w:val="index 4"/>
    <w:basedOn w:val="Normal"/>
    <w:next w:val="Normal"/>
    <w:autoRedefine/>
    <w:uiPriority w:val="99"/>
    <w:semiHidden/>
    <w:unhideWhenUsed/>
    <w:rsid w:val="004C255D"/>
    <w:pPr>
      <w:tabs>
        <w:tab w:val="clear" w:pos="284"/>
      </w:tabs>
      <w:spacing w:line="240" w:lineRule="auto"/>
      <w:ind w:left="720" w:hanging="180"/>
    </w:pPr>
  </w:style>
  <w:style w:type="paragraph" w:styleId="Index5">
    <w:name w:val="index 5"/>
    <w:basedOn w:val="Normal"/>
    <w:next w:val="Normal"/>
    <w:autoRedefine/>
    <w:uiPriority w:val="99"/>
    <w:semiHidden/>
    <w:unhideWhenUsed/>
    <w:rsid w:val="004C255D"/>
    <w:pPr>
      <w:tabs>
        <w:tab w:val="clear" w:pos="284"/>
      </w:tabs>
      <w:spacing w:line="240" w:lineRule="auto"/>
      <w:ind w:left="900" w:hanging="180"/>
    </w:pPr>
  </w:style>
  <w:style w:type="paragraph" w:styleId="Index6">
    <w:name w:val="index 6"/>
    <w:basedOn w:val="Normal"/>
    <w:next w:val="Normal"/>
    <w:autoRedefine/>
    <w:uiPriority w:val="99"/>
    <w:semiHidden/>
    <w:unhideWhenUsed/>
    <w:rsid w:val="004C255D"/>
    <w:pPr>
      <w:tabs>
        <w:tab w:val="clear" w:pos="284"/>
      </w:tabs>
      <w:spacing w:line="240" w:lineRule="auto"/>
      <w:ind w:left="1080" w:hanging="180"/>
    </w:pPr>
  </w:style>
  <w:style w:type="paragraph" w:styleId="Index7">
    <w:name w:val="index 7"/>
    <w:basedOn w:val="Normal"/>
    <w:next w:val="Normal"/>
    <w:autoRedefine/>
    <w:uiPriority w:val="99"/>
    <w:semiHidden/>
    <w:unhideWhenUsed/>
    <w:rsid w:val="004C255D"/>
    <w:pPr>
      <w:tabs>
        <w:tab w:val="clear" w:pos="284"/>
      </w:tabs>
      <w:spacing w:line="240" w:lineRule="auto"/>
      <w:ind w:left="1260" w:hanging="180"/>
    </w:pPr>
  </w:style>
  <w:style w:type="paragraph" w:styleId="Index8">
    <w:name w:val="index 8"/>
    <w:basedOn w:val="Normal"/>
    <w:next w:val="Normal"/>
    <w:autoRedefine/>
    <w:uiPriority w:val="99"/>
    <w:semiHidden/>
    <w:unhideWhenUsed/>
    <w:rsid w:val="004C255D"/>
    <w:pPr>
      <w:tabs>
        <w:tab w:val="clear" w:pos="284"/>
      </w:tabs>
      <w:spacing w:line="240" w:lineRule="auto"/>
      <w:ind w:left="1440" w:hanging="180"/>
    </w:pPr>
  </w:style>
  <w:style w:type="paragraph" w:styleId="Index9">
    <w:name w:val="index 9"/>
    <w:basedOn w:val="Normal"/>
    <w:next w:val="Normal"/>
    <w:autoRedefine/>
    <w:uiPriority w:val="99"/>
    <w:semiHidden/>
    <w:unhideWhenUsed/>
    <w:rsid w:val="004C255D"/>
    <w:pPr>
      <w:tabs>
        <w:tab w:val="clear" w:pos="284"/>
      </w:tabs>
      <w:spacing w:line="240" w:lineRule="auto"/>
      <w:ind w:left="1620" w:hanging="180"/>
    </w:pPr>
  </w:style>
  <w:style w:type="paragraph" w:styleId="IndexHeading">
    <w:name w:val="index heading"/>
    <w:basedOn w:val="Normal"/>
    <w:next w:val="Index1"/>
    <w:uiPriority w:val="99"/>
    <w:semiHidden/>
    <w:unhideWhenUsed/>
    <w:rsid w:val="004C255D"/>
    <w:rPr>
      <w:rFonts w:asciiTheme="majorHAnsi" w:eastAsiaTheme="majorEastAsia" w:hAnsiTheme="majorHAnsi" w:cstheme="majorBidi"/>
      <w:b/>
      <w:bCs/>
    </w:rPr>
  </w:style>
  <w:style w:type="character" w:styleId="IntenseEmphasis">
    <w:name w:val="Intense Emphasis"/>
    <w:basedOn w:val="DefaultParagraphFont"/>
    <w:uiPriority w:val="21"/>
    <w:semiHidden/>
    <w:unhideWhenUsed/>
    <w:rsid w:val="004C255D"/>
    <w:rPr>
      <w:b/>
      <w:bCs/>
      <w:i/>
      <w:iCs/>
      <w:color w:val="00B5E2" w:themeColor="accent1"/>
    </w:rPr>
  </w:style>
  <w:style w:type="paragraph" w:styleId="IntenseQuote">
    <w:name w:val="Intense Quote"/>
    <w:basedOn w:val="Normal"/>
    <w:next w:val="Normal"/>
    <w:link w:val="IntenseQuoteChar"/>
    <w:uiPriority w:val="30"/>
    <w:semiHidden/>
    <w:unhideWhenUsed/>
    <w:rsid w:val="004C255D"/>
    <w:pPr>
      <w:pBdr>
        <w:bottom w:val="single" w:sz="4" w:space="4" w:color="00B5E2" w:themeColor="accent1"/>
      </w:pBdr>
      <w:spacing w:before="200" w:after="280"/>
      <w:ind w:left="936" w:right="936"/>
    </w:pPr>
    <w:rPr>
      <w:b/>
      <w:bCs/>
      <w:i/>
      <w:iCs/>
      <w:color w:val="00B5E2" w:themeColor="accent1"/>
    </w:rPr>
  </w:style>
  <w:style w:type="character" w:customStyle="1" w:styleId="IntenseQuoteChar">
    <w:name w:val="Intense Quote Char"/>
    <w:basedOn w:val="DefaultParagraphFont"/>
    <w:link w:val="IntenseQuote"/>
    <w:uiPriority w:val="30"/>
    <w:semiHidden/>
    <w:rsid w:val="00F66A91"/>
    <w:rPr>
      <w:b/>
      <w:bCs/>
      <w:i/>
      <w:iCs/>
      <w:color w:val="00B5E2" w:themeColor="accent1"/>
      <w:kern w:val="18"/>
    </w:rPr>
  </w:style>
  <w:style w:type="character" w:styleId="IntenseReference">
    <w:name w:val="Intense Reference"/>
    <w:basedOn w:val="DefaultParagraphFont"/>
    <w:uiPriority w:val="32"/>
    <w:semiHidden/>
    <w:unhideWhenUsed/>
    <w:rsid w:val="004C255D"/>
    <w:rPr>
      <w:b/>
      <w:bCs/>
      <w:smallCaps/>
      <w:color w:val="84BD00" w:themeColor="accent2"/>
      <w:spacing w:val="5"/>
      <w:u w:val="single"/>
    </w:rPr>
  </w:style>
  <w:style w:type="character" w:styleId="LineNumber">
    <w:name w:val="line number"/>
    <w:basedOn w:val="DefaultParagraphFont"/>
    <w:uiPriority w:val="99"/>
    <w:semiHidden/>
    <w:unhideWhenUsed/>
    <w:rsid w:val="004C255D"/>
  </w:style>
  <w:style w:type="paragraph" w:styleId="List">
    <w:name w:val="List"/>
    <w:basedOn w:val="Normal"/>
    <w:uiPriority w:val="99"/>
    <w:semiHidden/>
    <w:unhideWhenUsed/>
    <w:rsid w:val="004C255D"/>
    <w:pPr>
      <w:ind w:left="283" w:hanging="283"/>
      <w:contextualSpacing/>
    </w:pPr>
  </w:style>
  <w:style w:type="paragraph" w:styleId="List2">
    <w:name w:val="List 2"/>
    <w:basedOn w:val="Normal"/>
    <w:uiPriority w:val="99"/>
    <w:semiHidden/>
    <w:unhideWhenUsed/>
    <w:rsid w:val="004C255D"/>
    <w:pPr>
      <w:ind w:left="566" w:hanging="283"/>
      <w:contextualSpacing/>
    </w:pPr>
  </w:style>
  <w:style w:type="paragraph" w:styleId="List3">
    <w:name w:val="List 3"/>
    <w:basedOn w:val="Normal"/>
    <w:uiPriority w:val="99"/>
    <w:semiHidden/>
    <w:unhideWhenUsed/>
    <w:rsid w:val="004C255D"/>
    <w:pPr>
      <w:ind w:left="849" w:hanging="283"/>
      <w:contextualSpacing/>
    </w:pPr>
  </w:style>
  <w:style w:type="paragraph" w:styleId="List4">
    <w:name w:val="List 4"/>
    <w:basedOn w:val="Normal"/>
    <w:uiPriority w:val="99"/>
    <w:semiHidden/>
    <w:unhideWhenUsed/>
    <w:rsid w:val="004C255D"/>
    <w:pPr>
      <w:ind w:left="1132" w:hanging="283"/>
      <w:contextualSpacing/>
    </w:pPr>
  </w:style>
  <w:style w:type="paragraph" w:styleId="List5">
    <w:name w:val="List 5"/>
    <w:basedOn w:val="Normal"/>
    <w:uiPriority w:val="99"/>
    <w:semiHidden/>
    <w:unhideWhenUsed/>
    <w:rsid w:val="004C255D"/>
    <w:pPr>
      <w:ind w:left="1415" w:hanging="283"/>
      <w:contextualSpacing/>
    </w:pPr>
  </w:style>
  <w:style w:type="paragraph" w:styleId="ListBullet4">
    <w:name w:val="List Bullet 4"/>
    <w:basedOn w:val="Normal"/>
    <w:uiPriority w:val="99"/>
    <w:semiHidden/>
    <w:unhideWhenUsed/>
    <w:rsid w:val="004C255D"/>
    <w:pPr>
      <w:numPr>
        <w:numId w:val="3"/>
      </w:numPr>
      <w:contextualSpacing/>
    </w:pPr>
  </w:style>
  <w:style w:type="paragraph" w:styleId="ListBullet5">
    <w:name w:val="List Bullet 5"/>
    <w:basedOn w:val="Normal"/>
    <w:uiPriority w:val="99"/>
    <w:semiHidden/>
    <w:unhideWhenUsed/>
    <w:rsid w:val="004C255D"/>
    <w:pPr>
      <w:numPr>
        <w:numId w:val="4"/>
      </w:numPr>
      <w:contextualSpacing/>
    </w:pPr>
  </w:style>
  <w:style w:type="paragraph" w:styleId="ListContinue">
    <w:name w:val="List Continue"/>
    <w:basedOn w:val="Normal"/>
    <w:uiPriority w:val="99"/>
    <w:semiHidden/>
    <w:unhideWhenUsed/>
    <w:rsid w:val="004C255D"/>
    <w:pPr>
      <w:spacing w:after="120"/>
      <w:ind w:left="283"/>
      <w:contextualSpacing/>
    </w:pPr>
  </w:style>
  <w:style w:type="paragraph" w:styleId="ListContinue2">
    <w:name w:val="List Continue 2"/>
    <w:basedOn w:val="Normal"/>
    <w:uiPriority w:val="99"/>
    <w:semiHidden/>
    <w:unhideWhenUsed/>
    <w:rsid w:val="004C255D"/>
    <w:pPr>
      <w:spacing w:after="120"/>
      <w:ind w:left="566"/>
      <w:contextualSpacing/>
    </w:pPr>
  </w:style>
  <w:style w:type="paragraph" w:styleId="ListContinue3">
    <w:name w:val="List Continue 3"/>
    <w:basedOn w:val="Normal"/>
    <w:uiPriority w:val="99"/>
    <w:semiHidden/>
    <w:unhideWhenUsed/>
    <w:rsid w:val="004C255D"/>
    <w:pPr>
      <w:spacing w:after="120"/>
      <w:ind w:left="849"/>
      <w:contextualSpacing/>
    </w:pPr>
  </w:style>
  <w:style w:type="paragraph" w:styleId="ListContinue4">
    <w:name w:val="List Continue 4"/>
    <w:basedOn w:val="Normal"/>
    <w:uiPriority w:val="99"/>
    <w:semiHidden/>
    <w:unhideWhenUsed/>
    <w:rsid w:val="004C255D"/>
    <w:pPr>
      <w:spacing w:after="120"/>
      <w:ind w:left="1132"/>
      <w:contextualSpacing/>
    </w:pPr>
  </w:style>
  <w:style w:type="paragraph" w:styleId="ListContinue5">
    <w:name w:val="List Continue 5"/>
    <w:basedOn w:val="Normal"/>
    <w:uiPriority w:val="99"/>
    <w:semiHidden/>
    <w:unhideWhenUsed/>
    <w:rsid w:val="004C255D"/>
    <w:pPr>
      <w:spacing w:after="120"/>
      <w:ind w:left="1415"/>
      <w:contextualSpacing/>
    </w:pPr>
  </w:style>
  <w:style w:type="paragraph" w:styleId="ListNumber4">
    <w:name w:val="List Number 4"/>
    <w:basedOn w:val="Normal"/>
    <w:uiPriority w:val="99"/>
    <w:semiHidden/>
    <w:unhideWhenUsed/>
    <w:rsid w:val="004C255D"/>
    <w:pPr>
      <w:numPr>
        <w:numId w:val="5"/>
      </w:numPr>
      <w:contextualSpacing/>
    </w:pPr>
  </w:style>
  <w:style w:type="paragraph" w:styleId="ListNumber5">
    <w:name w:val="List Number 5"/>
    <w:basedOn w:val="Normal"/>
    <w:uiPriority w:val="99"/>
    <w:semiHidden/>
    <w:unhideWhenUsed/>
    <w:rsid w:val="004C255D"/>
    <w:pPr>
      <w:numPr>
        <w:numId w:val="6"/>
      </w:numPr>
      <w:contextualSpacing/>
    </w:pPr>
  </w:style>
  <w:style w:type="paragraph" w:styleId="ListParagraph">
    <w:name w:val="List Paragraph"/>
    <w:basedOn w:val="Normal"/>
    <w:uiPriority w:val="34"/>
    <w:unhideWhenUsed/>
    <w:rsid w:val="004C255D"/>
    <w:pPr>
      <w:ind w:left="720"/>
      <w:contextualSpacing/>
    </w:pPr>
  </w:style>
  <w:style w:type="paragraph" w:styleId="MacroText">
    <w:name w:val="macro"/>
    <w:link w:val="MacroTextChar"/>
    <w:uiPriority w:val="99"/>
    <w:semiHidden/>
    <w:unhideWhenUsed/>
    <w:rsid w:val="004C255D"/>
    <w:pPr>
      <w:tabs>
        <w:tab w:val="left" w:pos="480"/>
        <w:tab w:val="left" w:pos="960"/>
        <w:tab w:val="left" w:pos="1440"/>
        <w:tab w:val="left" w:pos="1920"/>
        <w:tab w:val="left" w:pos="2400"/>
        <w:tab w:val="left" w:pos="2880"/>
        <w:tab w:val="left" w:pos="3360"/>
        <w:tab w:val="left" w:pos="3840"/>
        <w:tab w:val="left" w:pos="4320"/>
      </w:tabs>
      <w:spacing w:line="240" w:lineRule="atLeast"/>
    </w:pPr>
    <w:rPr>
      <w:rFonts w:ascii="Consolas" w:hAnsi="Consolas"/>
      <w:sz w:val="20"/>
      <w:szCs w:val="20"/>
    </w:rPr>
  </w:style>
  <w:style w:type="character" w:customStyle="1" w:styleId="MacroTextChar">
    <w:name w:val="Macro Text Char"/>
    <w:basedOn w:val="DefaultParagraphFont"/>
    <w:link w:val="MacroText"/>
    <w:uiPriority w:val="99"/>
    <w:semiHidden/>
    <w:rsid w:val="00F66A91"/>
    <w:rPr>
      <w:rFonts w:ascii="Consolas" w:hAnsi="Consolas"/>
      <w:sz w:val="20"/>
      <w:szCs w:val="20"/>
    </w:rPr>
  </w:style>
  <w:style w:type="paragraph" w:styleId="MessageHeader">
    <w:name w:val="Message Header"/>
    <w:basedOn w:val="Normal"/>
    <w:link w:val="MessageHeaderChar"/>
    <w:uiPriority w:val="99"/>
    <w:semiHidden/>
    <w:unhideWhenUsed/>
    <w:rsid w:val="004C255D"/>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F66A91"/>
    <w:rPr>
      <w:rFonts w:asciiTheme="majorHAnsi" w:eastAsiaTheme="majorEastAsia" w:hAnsiTheme="majorHAnsi" w:cstheme="majorBidi"/>
      <w:kern w:val="18"/>
      <w:sz w:val="24"/>
      <w:szCs w:val="24"/>
      <w:shd w:val="pct20" w:color="auto" w:fill="auto"/>
    </w:rPr>
  </w:style>
  <w:style w:type="paragraph" w:styleId="NoSpacing">
    <w:name w:val="No Spacing"/>
    <w:uiPriority w:val="1"/>
    <w:semiHidden/>
    <w:unhideWhenUsed/>
    <w:rsid w:val="004C255D"/>
    <w:pPr>
      <w:tabs>
        <w:tab w:val="left" w:pos="284"/>
      </w:tabs>
    </w:pPr>
  </w:style>
  <w:style w:type="paragraph" w:styleId="NormalWeb">
    <w:name w:val="Normal (Web)"/>
    <w:basedOn w:val="Normal"/>
    <w:uiPriority w:val="99"/>
    <w:semiHidden/>
    <w:unhideWhenUsed/>
    <w:rsid w:val="004C255D"/>
    <w:rPr>
      <w:rFonts w:ascii="Times New Roman" w:hAnsi="Times New Roman" w:cs="Times New Roman"/>
      <w:sz w:val="24"/>
      <w:szCs w:val="24"/>
    </w:rPr>
  </w:style>
  <w:style w:type="paragraph" w:styleId="NormalIndent">
    <w:name w:val="Normal Indent"/>
    <w:basedOn w:val="Normal"/>
    <w:uiPriority w:val="99"/>
    <w:semiHidden/>
    <w:unhideWhenUsed/>
    <w:rsid w:val="004C255D"/>
    <w:pPr>
      <w:ind w:left="720"/>
    </w:pPr>
  </w:style>
  <w:style w:type="paragraph" w:styleId="NoteHeading">
    <w:name w:val="Note Heading"/>
    <w:basedOn w:val="Normal"/>
    <w:next w:val="Normal"/>
    <w:link w:val="NoteHeadingChar"/>
    <w:uiPriority w:val="99"/>
    <w:semiHidden/>
    <w:unhideWhenUsed/>
    <w:rsid w:val="004C255D"/>
    <w:pPr>
      <w:spacing w:line="240" w:lineRule="auto"/>
    </w:pPr>
  </w:style>
  <w:style w:type="character" w:customStyle="1" w:styleId="NoteHeadingChar">
    <w:name w:val="Note Heading Char"/>
    <w:basedOn w:val="DefaultParagraphFont"/>
    <w:link w:val="NoteHeading"/>
    <w:uiPriority w:val="99"/>
    <w:semiHidden/>
    <w:rsid w:val="00F66A91"/>
    <w:rPr>
      <w:kern w:val="18"/>
    </w:rPr>
  </w:style>
  <w:style w:type="character" w:styleId="PageNumber">
    <w:name w:val="page number"/>
    <w:basedOn w:val="DefaultParagraphFont"/>
    <w:uiPriority w:val="99"/>
    <w:semiHidden/>
    <w:unhideWhenUsed/>
    <w:rsid w:val="004C255D"/>
  </w:style>
  <w:style w:type="character" w:styleId="PlaceholderText">
    <w:name w:val="Placeholder Text"/>
    <w:basedOn w:val="DefaultParagraphFont"/>
    <w:uiPriority w:val="99"/>
    <w:semiHidden/>
    <w:unhideWhenUsed/>
    <w:rsid w:val="004C255D"/>
    <w:rPr>
      <w:color w:val="808080"/>
    </w:rPr>
  </w:style>
  <w:style w:type="paragraph" w:styleId="PlainText">
    <w:name w:val="Plain Text"/>
    <w:basedOn w:val="Normal"/>
    <w:link w:val="PlainTextChar"/>
    <w:uiPriority w:val="99"/>
    <w:semiHidden/>
    <w:unhideWhenUsed/>
    <w:rsid w:val="004C255D"/>
    <w:pPr>
      <w:spacing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F66A91"/>
    <w:rPr>
      <w:rFonts w:ascii="Consolas" w:hAnsi="Consolas"/>
      <w:kern w:val="18"/>
      <w:sz w:val="21"/>
      <w:szCs w:val="21"/>
    </w:rPr>
  </w:style>
  <w:style w:type="paragraph" w:styleId="Salutation">
    <w:name w:val="Salutation"/>
    <w:basedOn w:val="Normal"/>
    <w:next w:val="Normal"/>
    <w:link w:val="SalutationChar"/>
    <w:uiPriority w:val="99"/>
    <w:semiHidden/>
    <w:unhideWhenUsed/>
    <w:rsid w:val="004C255D"/>
  </w:style>
  <w:style w:type="character" w:customStyle="1" w:styleId="SalutationChar">
    <w:name w:val="Salutation Char"/>
    <w:basedOn w:val="DefaultParagraphFont"/>
    <w:link w:val="Salutation"/>
    <w:uiPriority w:val="99"/>
    <w:semiHidden/>
    <w:rsid w:val="00F66A91"/>
    <w:rPr>
      <w:kern w:val="18"/>
    </w:rPr>
  </w:style>
  <w:style w:type="paragraph" w:styleId="Signature">
    <w:name w:val="Signature"/>
    <w:basedOn w:val="Normal"/>
    <w:link w:val="SignatureChar"/>
    <w:uiPriority w:val="99"/>
    <w:semiHidden/>
    <w:unhideWhenUsed/>
    <w:rsid w:val="004C255D"/>
    <w:pPr>
      <w:spacing w:line="240" w:lineRule="auto"/>
      <w:ind w:left="4252"/>
    </w:pPr>
  </w:style>
  <w:style w:type="character" w:customStyle="1" w:styleId="SignatureChar">
    <w:name w:val="Signature Char"/>
    <w:basedOn w:val="DefaultParagraphFont"/>
    <w:link w:val="Signature"/>
    <w:uiPriority w:val="99"/>
    <w:semiHidden/>
    <w:rsid w:val="00F66A91"/>
    <w:rPr>
      <w:kern w:val="18"/>
    </w:rPr>
  </w:style>
  <w:style w:type="character" w:styleId="SubtleEmphasis">
    <w:name w:val="Subtle Emphasis"/>
    <w:basedOn w:val="DefaultParagraphFont"/>
    <w:uiPriority w:val="19"/>
    <w:semiHidden/>
    <w:unhideWhenUsed/>
    <w:rsid w:val="004C255D"/>
    <w:rPr>
      <w:i/>
      <w:iCs/>
      <w:color w:val="808080" w:themeColor="text1" w:themeTint="7F"/>
    </w:rPr>
  </w:style>
  <w:style w:type="character" w:styleId="SubtleReference">
    <w:name w:val="Subtle Reference"/>
    <w:basedOn w:val="DefaultParagraphFont"/>
    <w:uiPriority w:val="31"/>
    <w:semiHidden/>
    <w:unhideWhenUsed/>
    <w:rsid w:val="004C255D"/>
    <w:rPr>
      <w:smallCaps/>
      <w:color w:val="84BD00" w:themeColor="accent2"/>
      <w:u w:val="single"/>
    </w:rPr>
  </w:style>
  <w:style w:type="paragraph" w:styleId="TableofAuthorities">
    <w:name w:val="table of authorities"/>
    <w:basedOn w:val="Normal"/>
    <w:next w:val="Normal"/>
    <w:uiPriority w:val="99"/>
    <w:semiHidden/>
    <w:unhideWhenUsed/>
    <w:rsid w:val="004C255D"/>
    <w:pPr>
      <w:tabs>
        <w:tab w:val="clear" w:pos="284"/>
      </w:tabs>
      <w:ind w:left="180" w:hanging="180"/>
    </w:pPr>
  </w:style>
  <w:style w:type="paragraph" w:styleId="TOAHeading">
    <w:name w:val="toa heading"/>
    <w:basedOn w:val="Normal"/>
    <w:next w:val="Normal"/>
    <w:uiPriority w:val="99"/>
    <w:semiHidden/>
    <w:unhideWhenUsed/>
    <w:rsid w:val="004C255D"/>
    <w:pPr>
      <w:spacing w:before="120"/>
    </w:pPr>
    <w:rPr>
      <w:rFonts w:asciiTheme="majorHAnsi" w:eastAsiaTheme="majorEastAsia" w:hAnsiTheme="majorHAnsi" w:cstheme="majorBidi"/>
      <w:b/>
      <w:bCs/>
      <w:sz w:val="24"/>
      <w:szCs w:val="24"/>
    </w:rPr>
  </w:style>
  <w:style w:type="paragraph" w:styleId="TOC4">
    <w:name w:val="toc 4"/>
    <w:basedOn w:val="Normal"/>
    <w:next w:val="Normal"/>
    <w:autoRedefine/>
    <w:uiPriority w:val="39"/>
    <w:unhideWhenUsed/>
    <w:rsid w:val="003964F2"/>
    <w:pPr>
      <w:tabs>
        <w:tab w:val="clear" w:pos="284"/>
      </w:tabs>
      <w:ind w:left="540"/>
    </w:pPr>
    <w:rPr>
      <w:rFonts w:cstheme="minorHAnsi"/>
      <w:sz w:val="20"/>
      <w:szCs w:val="20"/>
    </w:rPr>
  </w:style>
  <w:style w:type="paragraph" w:styleId="TOC5">
    <w:name w:val="toc 5"/>
    <w:basedOn w:val="Normal"/>
    <w:next w:val="Normal"/>
    <w:autoRedefine/>
    <w:uiPriority w:val="39"/>
    <w:unhideWhenUsed/>
    <w:rsid w:val="004C255D"/>
    <w:pPr>
      <w:tabs>
        <w:tab w:val="clear" w:pos="284"/>
      </w:tabs>
      <w:ind w:left="720"/>
    </w:pPr>
    <w:rPr>
      <w:rFonts w:cstheme="minorHAnsi"/>
      <w:sz w:val="20"/>
      <w:szCs w:val="20"/>
    </w:rPr>
  </w:style>
  <w:style w:type="paragraph" w:styleId="TOC6">
    <w:name w:val="toc 6"/>
    <w:basedOn w:val="Normal"/>
    <w:next w:val="Normal"/>
    <w:autoRedefine/>
    <w:uiPriority w:val="39"/>
    <w:unhideWhenUsed/>
    <w:rsid w:val="004C255D"/>
    <w:pPr>
      <w:tabs>
        <w:tab w:val="clear" w:pos="284"/>
      </w:tabs>
      <w:ind w:left="900"/>
    </w:pPr>
    <w:rPr>
      <w:rFonts w:cstheme="minorHAnsi"/>
      <w:sz w:val="20"/>
      <w:szCs w:val="20"/>
    </w:rPr>
  </w:style>
  <w:style w:type="paragraph" w:styleId="TOC7">
    <w:name w:val="toc 7"/>
    <w:basedOn w:val="Normal"/>
    <w:next w:val="Normal"/>
    <w:autoRedefine/>
    <w:uiPriority w:val="39"/>
    <w:unhideWhenUsed/>
    <w:rsid w:val="004C255D"/>
    <w:pPr>
      <w:tabs>
        <w:tab w:val="clear" w:pos="284"/>
      </w:tabs>
      <w:ind w:left="1080"/>
    </w:pPr>
    <w:rPr>
      <w:rFonts w:cstheme="minorHAnsi"/>
      <w:sz w:val="20"/>
      <w:szCs w:val="20"/>
    </w:rPr>
  </w:style>
  <w:style w:type="paragraph" w:styleId="TOC8">
    <w:name w:val="toc 8"/>
    <w:basedOn w:val="Normal"/>
    <w:next w:val="Normal"/>
    <w:autoRedefine/>
    <w:uiPriority w:val="39"/>
    <w:unhideWhenUsed/>
    <w:rsid w:val="004C255D"/>
    <w:pPr>
      <w:tabs>
        <w:tab w:val="clear" w:pos="284"/>
      </w:tabs>
      <w:ind w:left="1260"/>
    </w:pPr>
    <w:rPr>
      <w:rFonts w:cstheme="minorHAnsi"/>
      <w:sz w:val="20"/>
      <w:szCs w:val="20"/>
    </w:rPr>
  </w:style>
  <w:style w:type="paragraph" w:styleId="TOC9">
    <w:name w:val="toc 9"/>
    <w:basedOn w:val="Normal"/>
    <w:next w:val="Normal"/>
    <w:autoRedefine/>
    <w:uiPriority w:val="39"/>
    <w:unhideWhenUsed/>
    <w:rsid w:val="004C255D"/>
    <w:pPr>
      <w:tabs>
        <w:tab w:val="clear" w:pos="284"/>
      </w:tabs>
      <w:ind w:left="1440"/>
    </w:pPr>
    <w:rPr>
      <w:rFonts w:cstheme="minorHAnsi"/>
      <w:sz w:val="20"/>
      <w:szCs w:val="20"/>
    </w:rPr>
  </w:style>
  <w:style w:type="paragraph" w:customStyle="1" w:styleId="CVHeading">
    <w:name w:val="CV Heading"/>
    <w:basedOn w:val="BodyText"/>
    <w:uiPriority w:val="24"/>
    <w:qFormat/>
    <w:rsid w:val="004C255D"/>
    <w:rPr>
      <w:rFonts w:asciiTheme="majorHAnsi" w:hAnsiTheme="majorHAnsi"/>
      <w:b/>
      <w:sz w:val="24"/>
    </w:rPr>
  </w:style>
  <w:style w:type="paragraph" w:customStyle="1" w:styleId="CVIntroduction">
    <w:name w:val="CV Introduction"/>
    <w:basedOn w:val="BodyText"/>
    <w:uiPriority w:val="23"/>
    <w:qFormat/>
    <w:rsid w:val="004C255D"/>
    <w:pPr>
      <w:pBdr>
        <w:top w:val="single" w:sz="4" w:space="6" w:color="auto"/>
        <w:bottom w:val="single" w:sz="4" w:space="6" w:color="auto"/>
      </w:pBdr>
    </w:pPr>
    <w:rPr>
      <w:sz w:val="28"/>
    </w:rPr>
  </w:style>
  <w:style w:type="paragraph" w:customStyle="1" w:styleId="CVTitle">
    <w:name w:val="CV Title"/>
    <w:basedOn w:val="Normal"/>
    <w:uiPriority w:val="1"/>
    <w:semiHidden/>
    <w:unhideWhenUsed/>
    <w:rsid w:val="004C255D"/>
    <w:pPr>
      <w:tabs>
        <w:tab w:val="clear" w:pos="284"/>
      </w:tabs>
    </w:pPr>
    <w:rPr>
      <w:rFonts w:asciiTheme="majorHAnsi" w:hAnsiTheme="majorHAnsi"/>
      <w:color w:val="000000" w:themeColor="text1"/>
      <w:sz w:val="32"/>
    </w:rPr>
  </w:style>
  <w:style w:type="table" w:customStyle="1" w:styleId="Tablenoborders">
    <w:name w:val="Table no borders"/>
    <w:basedOn w:val="TableNormal"/>
    <w:uiPriority w:val="99"/>
    <w:semiHidden/>
    <w:unhideWhenUsed/>
    <w:rsid w:val="00C314D3"/>
    <w:tblPr>
      <w:tblCellMar>
        <w:left w:w="0" w:type="dxa"/>
        <w:right w:w="0" w:type="dxa"/>
      </w:tblCellMar>
    </w:tblPr>
  </w:style>
  <w:style w:type="numbering" w:customStyle="1" w:styleId="AECOMTableBullets">
    <w:name w:val="AECOM Table Bullets"/>
    <w:uiPriority w:val="99"/>
    <w:semiHidden/>
    <w:unhideWhenUsed/>
    <w:rsid w:val="002740A7"/>
    <w:pPr>
      <w:numPr>
        <w:numId w:val="16"/>
      </w:numPr>
    </w:pPr>
  </w:style>
  <w:style w:type="numbering" w:customStyle="1" w:styleId="AECOMTableNumbering">
    <w:name w:val="AECOM Table Numbering"/>
    <w:uiPriority w:val="99"/>
    <w:semiHidden/>
    <w:unhideWhenUsed/>
    <w:rsid w:val="002740A7"/>
    <w:pPr>
      <w:numPr>
        <w:numId w:val="17"/>
      </w:numPr>
    </w:pPr>
  </w:style>
  <w:style w:type="paragraph" w:customStyle="1" w:styleId="TableListBullet">
    <w:name w:val="Table List Bullet"/>
    <w:basedOn w:val="Normal"/>
    <w:uiPriority w:val="16"/>
    <w:qFormat/>
    <w:rsid w:val="002740A7"/>
    <w:pPr>
      <w:numPr>
        <w:numId w:val="19"/>
      </w:numPr>
      <w:tabs>
        <w:tab w:val="clear" w:pos="284"/>
      </w:tabs>
      <w:spacing w:after="40" w:line="240" w:lineRule="auto"/>
    </w:pPr>
    <w:rPr>
      <w:sz w:val="16"/>
    </w:rPr>
  </w:style>
  <w:style w:type="paragraph" w:customStyle="1" w:styleId="TableListBullet2">
    <w:name w:val="Table List Bullet 2"/>
    <w:basedOn w:val="Normal"/>
    <w:uiPriority w:val="17"/>
    <w:qFormat/>
    <w:rsid w:val="002740A7"/>
    <w:pPr>
      <w:numPr>
        <w:ilvl w:val="1"/>
        <w:numId w:val="19"/>
      </w:numPr>
      <w:tabs>
        <w:tab w:val="clear" w:pos="284"/>
      </w:tabs>
      <w:spacing w:after="40" w:line="240" w:lineRule="auto"/>
    </w:pPr>
    <w:rPr>
      <w:sz w:val="16"/>
    </w:rPr>
  </w:style>
  <w:style w:type="paragraph" w:customStyle="1" w:styleId="TableListBullet3">
    <w:name w:val="Table List Bullet 3"/>
    <w:basedOn w:val="Normal"/>
    <w:uiPriority w:val="18"/>
    <w:qFormat/>
    <w:rsid w:val="002740A7"/>
    <w:pPr>
      <w:numPr>
        <w:ilvl w:val="2"/>
        <w:numId w:val="19"/>
      </w:numPr>
      <w:tabs>
        <w:tab w:val="clear" w:pos="284"/>
      </w:tabs>
      <w:spacing w:after="40" w:line="240" w:lineRule="auto"/>
    </w:pPr>
    <w:rPr>
      <w:sz w:val="16"/>
    </w:rPr>
  </w:style>
  <w:style w:type="paragraph" w:customStyle="1" w:styleId="TableListNumber">
    <w:name w:val="Table List Number"/>
    <w:basedOn w:val="BodyText"/>
    <w:uiPriority w:val="19"/>
    <w:qFormat/>
    <w:rsid w:val="002740A7"/>
    <w:pPr>
      <w:numPr>
        <w:numId w:val="18"/>
      </w:numPr>
      <w:spacing w:after="40" w:line="240" w:lineRule="auto"/>
    </w:pPr>
    <w:rPr>
      <w:sz w:val="16"/>
    </w:rPr>
  </w:style>
  <w:style w:type="paragraph" w:customStyle="1" w:styleId="TableListNumber2">
    <w:name w:val="Table List Number 2"/>
    <w:basedOn w:val="Normal"/>
    <w:uiPriority w:val="20"/>
    <w:qFormat/>
    <w:rsid w:val="002740A7"/>
    <w:pPr>
      <w:numPr>
        <w:ilvl w:val="1"/>
        <w:numId w:val="18"/>
      </w:numPr>
      <w:tabs>
        <w:tab w:val="clear" w:pos="284"/>
      </w:tabs>
      <w:spacing w:after="40" w:line="240" w:lineRule="auto"/>
    </w:pPr>
    <w:rPr>
      <w:sz w:val="16"/>
    </w:rPr>
  </w:style>
  <w:style w:type="paragraph" w:customStyle="1" w:styleId="TableListNumber3">
    <w:name w:val="Table List Number 3"/>
    <w:basedOn w:val="Normal"/>
    <w:uiPriority w:val="21"/>
    <w:qFormat/>
    <w:rsid w:val="002740A7"/>
    <w:pPr>
      <w:numPr>
        <w:ilvl w:val="2"/>
        <w:numId w:val="18"/>
      </w:numPr>
      <w:tabs>
        <w:tab w:val="clear" w:pos="284"/>
      </w:tabs>
      <w:spacing w:after="40" w:line="240" w:lineRule="auto"/>
    </w:pPr>
    <w:rPr>
      <w:sz w:val="16"/>
    </w:rPr>
  </w:style>
  <w:style w:type="paragraph" w:customStyle="1" w:styleId="Tabletext">
    <w:name w:val="Table text"/>
    <w:basedOn w:val="BodyText"/>
    <w:uiPriority w:val="15"/>
    <w:qFormat/>
    <w:rsid w:val="00AA045B"/>
    <w:pPr>
      <w:spacing w:before="40" w:after="40" w:line="240" w:lineRule="auto"/>
    </w:pPr>
    <w:rPr>
      <w:sz w:val="16"/>
    </w:rPr>
  </w:style>
  <w:style w:type="paragraph" w:customStyle="1" w:styleId="Callout">
    <w:name w:val="Callout"/>
    <w:basedOn w:val="BodyText"/>
    <w:uiPriority w:val="1"/>
    <w:semiHidden/>
    <w:unhideWhenUsed/>
    <w:rsid w:val="00F352C7"/>
    <w:pPr>
      <w:spacing w:after="60"/>
    </w:pPr>
  </w:style>
  <w:style w:type="paragraph" w:customStyle="1" w:styleId="SQL">
    <w:name w:val="SQL"/>
    <w:uiPriority w:val="1"/>
    <w:semiHidden/>
    <w:unhideWhenUsed/>
    <w:rsid w:val="004D4675"/>
    <w:pPr>
      <w:spacing w:after="120" w:line="240" w:lineRule="atLeast"/>
    </w:pPr>
    <w:rPr>
      <w:sz w:val="16"/>
      <w:lang w:val="en-CA"/>
    </w:rPr>
  </w:style>
  <w:style w:type="table" w:customStyle="1" w:styleId="AECOMcolouredtable">
    <w:name w:val="AECOM coloured table"/>
    <w:basedOn w:val="TableNormal"/>
    <w:uiPriority w:val="99"/>
    <w:semiHidden/>
    <w:unhideWhenUsed/>
    <w:rsid w:val="00890ADA"/>
    <w:tblPr>
      <w:tblStyleRowBandSize w:val="1"/>
    </w:tblPr>
    <w:tblStylePr w:type="firstRow">
      <w:rPr>
        <w:b/>
        <w:color w:val="FFFFFF" w:themeColor="background1"/>
      </w:rPr>
      <w:tblPr/>
      <w:tcPr>
        <w:tcBorders>
          <w:bottom w:val="single" w:sz="12" w:space="0" w:color="FFFFFF" w:themeColor="background1"/>
          <w:insideV w:val="single" w:sz="4" w:space="0" w:color="FFFFFF" w:themeColor="background1"/>
        </w:tcBorders>
        <w:shd w:val="clear" w:color="auto" w:fill="00B5E2" w:themeFill="accent1"/>
      </w:tcPr>
    </w:tblStylePr>
    <w:tblStylePr w:type="firstCol">
      <w:rPr>
        <w:b/>
        <w:color w:val="FFFFFF" w:themeColor="background1"/>
      </w:rPr>
      <w:tblPr/>
      <w:tcPr>
        <w:tcBorders>
          <w:right w:val="single" w:sz="12" w:space="0" w:color="FFFFFF" w:themeColor="background1"/>
        </w:tcBorders>
        <w:shd w:val="clear" w:color="auto" w:fill="00B5E2" w:themeFill="accent1"/>
      </w:tcPr>
    </w:tblStylePr>
    <w:tblStylePr w:type="band1Horz">
      <w:tblPr/>
      <w:tcPr>
        <w:shd w:val="clear" w:color="auto" w:fill="C6F3FF" w:themeFill="accent1" w:themeFillTint="33"/>
      </w:tcPr>
    </w:tblStylePr>
    <w:tblStylePr w:type="band2Horz">
      <w:tblPr/>
      <w:tcPr>
        <w:shd w:val="clear" w:color="auto" w:fill="8DE8FF" w:themeFill="accent1" w:themeFillTint="66"/>
      </w:tcPr>
    </w:tblStylePr>
  </w:style>
  <w:style w:type="paragraph" w:customStyle="1" w:styleId="Appendixheading2">
    <w:name w:val="Appendix heading 2"/>
    <w:basedOn w:val="Heading2"/>
    <w:uiPriority w:val="8"/>
    <w:qFormat/>
    <w:rsid w:val="003934D8"/>
    <w:pPr>
      <w:ind w:left="851" w:hanging="851"/>
    </w:pPr>
    <w:rPr>
      <w:rFonts w:cstheme="majorHAnsi"/>
      <w:szCs w:val="36"/>
    </w:rPr>
  </w:style>
  <w:style w:type="paragraph" w:customStyle="1" w:styleId="Numberedtext">
    <w:name w:val="Numbered text"/>
    <w:basedOn w:val="BodyText"/>
    <w:uiPriority w:val="2"/>
    <w:qFormat/>
    <w:rsid w:val="00B908E0"/>
    <w:pPr>
      <w:numPr>
        <w:ilvl w:val="1"/>
        <w:numId w:val="9"/>
      </w:numPr>
    </w:pPr>
    <w:rPr>
      <w:b/>
      <w:color w:val="00B5E2" w:themeColor="accent1"/>
      <w:sz w:val="24"/>
    </w:rPr>
  </w:style>
  <w:style w:type="table" w:customStyle="1" w:styleId="CompassTable">
    <w:name w:val="Compass Table"/>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1">
    <w:name w:val="Compass Table1"/>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customStyle="1" w:styleId="2Body-Text">
    <w:name w:val="2 Body-Text"/>
    <w:basedOn w:val="Normal"/>
    <w:link w:val="2Body-TextChar"/>
    <w:qFormat/>
    <w:rsid w:val="00161A02"/>
    <w:pPr>
      <w:tabs>
        <w:tab w:val="clear" w:pos="284"/>
      </w:tabs>
      <w:spacing w:before="120" w:after="120" w:line="240" w:lineRule="auto"/>
    </w:pPr>
    <w:rPr>
      <w:rFonts w:eastAsia="Times New Roman"/>
      <w:kern w:val="0"/>
      <w:sz w:val="22"/>
      <w:szCs w:val="26"/>
    </w:rPr>
  </w:style>
  <w:style w:type="character" w:customStyle="1" w:styleId="2Body-TextChar">
    <w:name w:val="2 Body-Text Char"/>
    <w:basedOn w:val="DefaultParagraphFont"/>
    <w:link w:val="2Body-Text"/>
    <w:rsid w:val="00161A02"/>
    <w:rPr>
      <w:rFonts w:eastAsia="Times New Roman"/>
      <w:sz w:val="22"/>
      <w:szCs w:val="26"/>
      <w:lang w:val="en-US"/>
    </w:rPr>
  </w:style>
  <w:style w:type="table" w:customStyle="1" w:styleId="CompassTable2">
    <w:name w:val="Compass Table2"/>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3">
    <w:name w:val="Compass Table3"/>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4">
    <w:name w:val="Compass Table4"/>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5">
    <w:name w:val="Compass Table5"/>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styleId="Revision">
    <w:name w:val="Revision"/>
    <w:hidden/>
    <w:uiPriority w:val="99"/>
    <w:semiHidden/>
    <w:rsid w:val="00E54194"/>
    <w:rPr>
      <w:kern w:val="18"/>
      <w:lang w:val="en-US"/>
    </w:rPr>
  </w:style>
  <w:style w:type="paragraph" w:customStyle="1" w:styleId="3TableText">
    <w:name w:val="3 Table Text"/>
    <w:basedOn w:val="Normal"/>
    <w:rsid w:val="005269D3"/>
    <w:pPr>
      <w:tabs>
        <w:tab w:val="clear" w:pos="284"/>
      </w:tabs>
      <w:spacing w:before="20" w:after="20" w:line="240" w:lineRule="auto"/>
    </w:pPr>
    <w:rPr>
      <w:rFonts w:eastAsia="Times New Roman"/>
      <w:kern w:val="0"/>
      <w:sz w:val="20"/>
      <w:szCs w:val="24"/>
    </w:rPr>
  </w:style>
  <w:style w:type="paragraph" w:customStyle="1" w:styleId="3TableHeading">
    <w:name w:val="3 Table Heading"/>
    <w:basedOn w:val="3TableText"/>
    <w:rsid w:val="005269D3"/>
    <w:pPr>
      <w:spacing w:before="60" w:after="60"/>
      <w:jc w:val="center"/>
    </w:pPr>
    <w:rPr>
      <w:b/>
      <w:color w:val="FFFFFF"/>
    </w:rPr>
  </w:style>
  <w:style w:type="table" w:customStyle="1" w:styleId="FEMATable">
    <w:name w:val="FEMA Table"/>
    <w:basedOn w:val="TableNormal"/>
    <w:uiPriority w:val="99"/>
    <w:rsid w:val="0023430C"/>
    <w:rPr>
      <w:sz w:val="20"/>
      <w:szCs w:val="22"/>
      <w:lang w:val="en-US"/>
    </w:rPr>
    <w:tblPr>
      <w:tblStyleRowBandSize w:val="1"/>
      <w:tblBorders>
        <w:top w:val="single" w:sz="4" w:space="0" w:color="3381BD"/>
        <w:left w:val="single" w:sz="4" w:space="0" w:color="3381BD"/>
        <w:bottom w:val="single" w:sz="4" w:space="0" w:color="3381BD"/>
        <w:right w:val="single" w:sz="4" w:space="0" w:color="3381BD"/>
        <w:insideH w:val="single" w:sz="4" w:space="0" w:color="3381BD"/>
        <w:insideV w:val="single" w:sz="4" w:space="0" w:color="3381BD"/>
      </w:tblBorders>
    </w:tblPr>
    <w:tcPr>
      <w:shd w:val="clear" w:color="auto" w:fill="auto"/>
    </w:tcPr>
    <w:tblStylePr w:type="firstRow">
      <w:pPr>
        <w:jc w:val="center"/>
      </w:pPr>
      <w:rPr>
        <w:rFonts w:ascii="Calibri" w:hAnsi="Calibri"/>
        <w:b/>
        <w:sz w:val="20"/>
      </w:rPr>
      <w:tblPr/>
      <w:tcPr>
        <w:shd w:val="clear" w:color="auto" w:fill="233972"/>
        <w:vAlign w:val="bottom"/>
      </w:tcPr>
    </w:tblStylePr>
    <w:tblStylePr w:type="band1Horz">
      <w:tblPr/>
      <w:tcPr>
        <w:shd w:val="clear" w:color="auto" w:fill="E9F2F9"/>
      </w:tcPr>
    </w:tblStylePr>
  </w:style>
  <w:style w:type="paragraph" w:customStyle="1" w:styleId="3TextBoxBullets">
    <w:name w:val="3 TextBox Bullets"/>
    <w:basedOn w:val="Normal"/>
    <w:rsid w:val="006B4EA6"/>
    <w:pPr>
      <w:numPr>
        <w:numId w:val="29"/>
      </w:numPr>
      <w:tabs>
        <w:tab w:val="clear" w:pos="284"/>
        <w:tab w:val="left" w:pos="216"/>
      </w:tabs>
      <w:spacing w:after="100" w:line="240" w:lineRule="auto"/>
      <w:ind w:left="216" w:hanging="216"/>
      <w:contextualSpacing/>
    </w:pPr>
    <w:rPr>
      <w:rFonts w:eastAsia="Times New Roman"/>
      <w:kern w:val="0"/>
      <w:sz w:val="20"/>
      <w:szCs w:val="24"/>
    </w:rPr>
  </w:style>
  <w:style w:type="character" w:customStyle="1" w:styleId="UnresolvedMention1">
    <w:name w:val="Unresolved Mention1"/>
    <w:basedOn w:val="DefaultParagraphFont"/>
    <w:uiPriority w:val="99"/>
    <w:semiHidden/>
    <w:unhideWhenUsed/>
    <w:rsid w:val="000E392F"/>
    <w:rPr>
      <w:color w:val="605E5C"/>
      <w:shd w:val="clear" w:color="auto" w:fill="E1DFDD"/>
    </w:rPr>
  </w:style>
  <w:style w:type="paragraph" w:customStyle="1" w:styleId="2SubheadingLevel2">
    <w:name w:val="2 Subheading Level 2"/>
    <w:basedOn w:val="Normal"/>
    <w:next w:val="2Body-Text"/>
    <w:qFormat/>
    <w:rsid w:val="00901BD9"/>
    <w:pPr>
      <w:tabs>
        <w:tab w:val="clear" w:pos="284"/>
      </w:tabs>
      <w:spacing w:before="200" w:after="200" w:line="240" w:lineRule="auto"/>
    </w:pPr>
    <w:rPr>
      <w:rFonts w:asciiTheme="majorHAnsi" w:eastAsia="Times New Roman" w:hAnsiTheme="majorHAnsi" w:cs="Times New Roman"/>
      <w:b/>
      <w:caps/>
      <w:color w:val="F68B1F" w:themeColor="accent3"/>
      <w:kern w:val="0"/>
      <w:sz w:val="22"/>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885256">
      <w:bodyDiv w:val="1"/>
      <w:marLeft w:val="0"/>
      <w:marRight w:val="0"/>
      <w:marTop w:val="0"/>
      <w:marBottom w:val="0"/>
      <w:divBdr>
        <w:top w:val="none" w:sz="0" w:space="0" w:color="auto"/>
        <w:left w:val="none" w:sz="0" w:space="0" w:color="auto"/>
        <w:bottom w:val="none" w:sz="0" w:space="0" w:color="auto"/>
        <w:right w:val="none" w:sz="0" w:space="0" w:color="auto"/>
      </w:divBdr>
    </w:div>
    <w:div w:id="135538723">
      <w:bodyDiv w:val="1"/>
      <w:marLeft w:val="0"/>
      <w:marRight w:val="0"/>
      <w:marTop w:val="0"/>
      <w:marBottom w:val="0"/>
      <w:divBdr>
        <w:top w:val="none" w:sz="0" w:space="0" w:color="auto"/>
        <w:left w:val="none" w:sz="0" w:space="0" w:color="auto"/>
        <w:bottom w:val="none" w:sz="0" w:space="0" w:color="auto"/>
        <w:right w:val="none" w:sz="0" w:space="0" w:color="auto"/>
      </w:divBdr>
    </w:div>
    <w:div w:id="338823284">
      <w:bodyDiv w:val="1"/>
      <w:marLeft w:val="0"/>
      <w:marRight w:val="0"/>
      <w:marTop w:val="0"/>
      <w:marBottom w:val="0"/>
      <w:divBdr>
        <w:top w:val="none" w:sz="0" w:space="0" w:color="auto"/>
        <w:left w:val="none" w:sz="0" w:space="0" w:color="auto"/>
        <w:bottom w:val="none" w:sz="0" w:space="0" w:color="auto"/>
        <w:right w:val="none" w:sz="0" w:space="0" w:color="auto"/>
      </w:divBdr>
    </w:div>
    <w:div w:id="363217527">
      <w:bodyDiv w:val="1"/>
      <w:marLeft w:val="0"/>
      <w:marRight w:val="0"/>
      <w:marTop w:val="0"/>
      <w:marBottom w:val="0"/>
      <w:divBdr>
        <w:top w:val="none" w:sz="0" w:space="0" w:color="auto"/>
        <w:left w:val="none" w:sz="0" w:space="0" w:color="auto"/>
        <w:bottom w:val="none" w:sz="0" w:space="0" w:color="auto"/>
        <w:right w:val="none" w:sz="0" w:space="0" w:color="auto"/>
      </w:divBdr>
    </w:div>
    <w:div w:id="657415397">
      <w:bodyDiv w:val="1"/>
      <w:marLeft w:val="0"/>
      <w:marRight w:val="0"/>
      <w:marTop w:val="0"/>
      <w:marBottom w:val="0"/>
      <w:divBdr>
        <w:top w:val="none" w:sz="0" w:space="0" w:color="auto"/>
        <w:left w:val="none" w:sz="0" w:space="0" w:color="auto"/>
        <w:bottom w:val="none" w:sz="0" w:space="0" w:color="auto"/>
        <w:right w:val="none" w:sz="0" w:space="0" w:color="auto"/>
      </w:divBdr>
    </w:div>
    <w:div w:id="849030936">
      <w:bodyDiv w:val="1"/>
      <w:marLeft w:val="0"/>
      <w:marRight w:val="0"/>
      <w:marTop w:val="0"/>
      <w:marBottom w:val="0"/>
      <w:divBdr>
        <w:top w:val="none" w:sz="0" w:space="0" w:color="auto"/>
        <w:left w:val="none" w:sz="0" w:space="0" w:color="auto"/>
        <w:bottom w:val="none" w:sz="0" w:space="0" w:color="auto"/>
        <w:right w:val="none" w:sz="0" w:space="0" w:color="auto"/>
      </w:divBdr>
    </w:div>
    <w:div w:id="878862671">
      <w:bodyDiv w:val="1"/>
      <w:marLeft w:val="0"/>
      <w:marRight w:val="0"/>
      <w:marTop w:val="0"/>
      <w:marBottom w:val="0"/>
      <w:divBdr>
        <w:top w:val="none" w:sz="0" w:space="0" w:color="auto"/>
        <w:left w:val="none" w:sz="0" w:space="0" w:color="auto"/>
        <w:bottom w:val="none" w:sz="0" w:space="0" w:color="auto"/>
        <w:right w:val="none" w:sz="0" w:space="0" w:color="auto"/>
      </w:divBdr>
    </w:div>
    <w:div w:id="1018045395">
      <w:bodyDiv w:val="1"/>
      <w:marLeft w:val="0"/>
      <w:marRight w:val="0"/>
      <w:marTop w:val="0"/>
      <w:marBottom w:val="0"/>
      <w:divBdr>
        <w:top w:val="none" w:sz="0" w:space="0" w:color="auto"/>
        <w:left w:val="none" w:sz="0" w:space="0" w:color="auto"/>
        <w:bottom w:val="none" w:sz="0" w:space="0" w:color="auto"/>
        <w:right w:val="none" w:sz="0" w:space="0" w:color="auto"/>
      </w:divBdr>
    </w:div>
    <w:div w:id="1261723456">
      <w:bodyDiv w:val="1"/>
      <w:marLeft w:val="0"/>
      <w:marRight w:val="0"/>
      <w:marTop w:val="0"/>
      <w:marBottom w:val="0"/>
      <w:divBdr>
        <w:top w:val="none" w:sz="0" w:space="0" w:color="auto"/>
        <w:left w:val="none" w:sz="0" w:space="0" w:color="auto"/>
        <w:bottom w:val="none" w:sz="0" w:space="0" w:color="auto"/>
        <w:right w:val="none" w:sz="0" w:space="0" w:color="auto"/>
      </w:divBdr>
    </w:div>
    <w:div w:id="1476143157">
      <w:bodyDiv w:val="1"/>
      <w:marLeft w:val="0"/>
      <w:marRight w:val="0"/>
      <w:marTop w:val="0"/>
      <w:marBottom w:val="0"/>
      <w:divBdr>
        <w:top w:val="none" w:sz="0" w:space="0" w:color="auto"/>
        <w:left w:val="none" w:sz="0" w:space="0" w:color="auto"/>
        <w:bottom w:val="none" w:sz="0" w:space="0" w:color="auto"/>
        <w:right w:val="none" w:sz="0" w:space="0" w:color="auto"/>
      </w:divBdr>
    </w:div>
    <w:div w:id="1648238942">
      <w:bodyDiv w:val="1"/>
      <w:marLeft w:val="0"/>
      <w:marRight w:val="0"/>
      <w:marTop w:val="0"/>
      <w:marBottom w:val="0"/>
      <w:divBdr>
        <w:top w:val="none" w:sz="0" w:space="0" w:color="auto"/>
        <w:left w:val="none" w:sz="0" w:space="0" w:color="auto"/>
        <w:bottom w:val="none" w:sz="0" w:space="0" w:color="auto"/>
        <w:right w:val="none" w:sz="0" w:space="0" w:color="auto"/>
      </w:divBdr>
    </w:div>
    <w:div w:id="1731492687">
      <w:bodyDiv w:val="1"/>
      <w:marLeft w:val="0"/>
      <w:marRight w:val="0"/>
      <w:marTop w:val="0"/>
      <w:marBottom w:val="0"/>
      <w:divBdr>
        <w:top w:val="none" w:sz="0" w:space="0" w:color="auto"/>
        <w:left w:val="none" w:sz="0" w:space="0" w:color="auto"/>
        <w:bottom w:val="none" w:sz="0" w:space="0" w:color="auto"/>
        <w:right w:val="none" w:sz="0" w:space="0" w:color="auto"/>
      </w:divBdr>
    </w:div>
    <w:div w:id="1786581541">
      <w:bodyDiv w:val="1"/>
      <w:marLeft w:val="0"/>
      <w:marRight w:val="0"/>
      <w:marTop w:val="0"/>
      <w:marBottom w:val="0"/>
      <w:divBdr>
        <w:top w:val="none" w:sz="0" w:space="0" w:color="auto"/>
        <w:left w:val="none" w:sz="0" w:space="0" w:color="auto"/>
        <w:bottom w:val="none" w:sz="0" w:space="0" w:color="auto"/>
        <w:right w:val="none" w:sz="0" w:space="0" w:color="auto"/>
      </w:divBdr>
    </w:div>
    <w:div w:id="21230669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jpg"/><Relationship Id="rId18" Type="http://schemas.openxmlformats.org/officeDocument/2006/relationships/chart" Target="charts/chart2.xml"/><Relationship Id="rId26" Type="http://schemas.openxmlformats.org/officeDocument/2006/relationships/image" Target="media/image9.png"/><Relationship Id="rId3" Type="http://schemas.openxmlformats.org/officeDocument/2006/relationships/styles" Target="styles.xml"/><Relationship Id="rId21" Type="http://schemas.openxmlformats.org/officeDocument/2006/relationships/image" Target="media/image7.png"/><Relationship Id="rId34" Type="http://schemas.microsoft.com/office/2018/08/relationships/commentsExtensible" Target="commentsExtensible.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chart" Target="charts/chart1.xml"/><Relationship Id="rId25" Type="http://schemas.openxmlformats.org/officeDocument/2006/relationships/hyperlink" Target="https://www.fema.gov/media-library-data/1450219382984-bcf364478896e3db06a9f9998cc5d1b1/Hazus_3.0_Dasymetric_Data_Overview_Complete.pdf" TargetMode="External"/><Relationship Id="rId33" Type="http://schemas.microsoft.com/office/2011/relationships/people" Target="people.xml"/><Relationship Id="rId2" Type="http://schemas.openxmlformats.org/officeDocument/2006/relationships/numbering" Target="numbering.xml"/><Relationship Id="rId16" Type="http://schemas.openxmlformats.org/officeDocument/2006/relationships/hyperlink" Target="http://hdsc.nws.noaa.gov/hdsc/pfds/index.html" TargetMode="External"/><Relationship Id="rId20" Type="http://schemas.openxmlformats.org/officeDocument/2006/relationships/chart" Target="charts/chart3.xm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hyperlink" Target="https://www.fema.gov/media-library-data/1450220012223-ebdf6f4752bbbb4411f69d0ee8b39bc4/Hazus_Dasymetric_Vs_Homogenous_Flyer_2.0.pdf" TargetMode="External"/><Relationship Id="rId32" Type="http://schemas.microsoft.com/office/2011/relationships/commentsExtended" Target="commentsExtended.xml"/><Relationship Id="rId5"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hyperlink" Target="https://www.fema.gov/media-library" TargetMode="External"/><Relationship Id="rId28"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6.png"/><Relationship Id="rId31" Type="http://schemas.microsoft.com/office/2016/09/relationships/commentsIds" Target="commentsIds.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4.jpeg"/><Relationship Id="rId22" Type="http://schemas.openxmlformats.org/officeDocument/2006/relationships/image" Target="media/image8.png"/><Relationship Id="rId27"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mithaml\AppData\Roaming\Microsoft\Templates\AECOM_Report.dotm" TargetMode="External"/></Relationships>
</file>

<file path=word/charts/_rels/chart1.xml.rels><?xml version="1.0" encoding="UTF-8" standalone="yes"?>
<Relationships xmlns="http://schemas.openxmlformats.org/package/2006/relationships"><Relationship Id="rId2" Type="http://schemas.openxmlformats.org/officeDocument/2006/relationships/oleObject" Target="file:///\\nadtc1vfs150.na.aecomnet.com\Data\Texas_2d\60656836_TWDB_Cowhouse_BLE\400_PRODUCTION\Engineering\Approximates\Eng\Cowhouse\Supplemental\Excess%20Precip%20and%20inflow%20hydrograph%20Template.xlsx"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1" Type="http://schemas.openxmlformats.org/officeDocument/2006/relationships/oleObject" Target="file:///\\nadtc1vfs150.na.aecomnet.com\Data\Texas_2d\60656836_TWDB_Cowhouse_BLE\400_PRODUCTION\Engineering\Approximates\Eng\Cowhouse\Supplemental\Excess%20Precip%20and%20inflow%20hydrograph%20Template.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nadtc1vfs150.na.aecomnet.com\Data\Texas_2d\60656836_TWDB_Cowhouse_BLE\400_PRODUCTION\Engineering\Approximates\Eng\Cowhouse\Supplemental\Excess%20Precip%20and%20inflow%20hydrograph%20Template.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0"/>
          <c:order val="0"/>
          <c:tx>
            <c:v>10 Percent Annual Chance</c:v>
          </c:tx>
          <c:spPr>
            <a:ln>
              <a:solidFill>
                <a:srgbClr val="33CC33"/>
              </a:solidFill>
            </a:ln>
          </c:spPr>
          <c:marker>
            <c:symbol val="none"/>
          </c:marker>
          <c:xVal>
            <c:numRef>
              <c:f>Precip!$A$3:$A$243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Precip!$B$3:$B$243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0.01</c:v>
                </c:pt>
                <c:pt idx="106">
                  <c:v>0.01</c:v>
                </c:pt>
                <c:pt idx="107">
                  <c:v>0.01</c:v>
                </c:pt>
                <c:pt idx="108">
                  <c:v>0.01</c:v>
                </c:pt>
                <c:pt idx="109">
                  <c:v>0.01</c:v>
                </c:pt>
                <c:pt idx="110">
                  <c:v>0.01</c:v>
                </c:pt>
                <c:pt idx="111">
                  <c:v>0.02</c:v>
                </c:pt>
                <c:pt idx="112">
                  <c:v>0.02</c:v>
                </c:pt>
                <c:pt idx="113">
                  <c:v>0.02</c:v>
                </c:pt>
                <c:pt idx="114">
                  <c:v>0.02</c:v>
                </c:pt>
                <c:pt idx="115">
                  <c:v>0.03</c:v>
                </c:pt>
                <c:pt idx="116">
                  <c:v>0.04</c:v>
                </c:pt>
                <c:pt idx="117">
                  <c:v>0.05</c:v>
                </c:pt>
                <c:pt idx="118">
                  <c:v>0.06</c:v>
                </c:pt>
                <c:pt idx="119">
                  <c:v>0.06</c:v>
                </c:pt>
                <c:pt idx="120">
                  <c:v>0.12</c:v>
                </c:pt>
                <c:pt idx="121">
                  <c:v>0.23</c:v>
                </c:pt>
                <c:pt idx="122">
                  <c:v>0.09</c:v>
                </c:pt>
                <c:pt idx="123">
                  <c:v>7.0000000000000007E-2</c:v>
                </c:pt>
                <c:pt idx="124">
                  <c:v>0.08</c:v>
                </c:pt>
                <c:pt idx="125">
                  <c:v>0.08</c:v>
                </c:pt>
                <c:pt idx="126">
                  <c:v>0.05</c:v>
                </c:pt>
                <c:pt idx="127">
                  <c:v>0.05</c:v>
                </c:pt>
                <c:pt idx="128">
                  <c:v>0.05</c:v>
                </c:pt>
                <c:pt idx="129">
                  <c:v>0.04</c:v>
                </c:pt>
                <c:pt idx="130">
                  <c:v>0.04</c:v>
                </c:pt>
                <c:pt idx="131">
                  <c:v>0.03</c:v>
                </c:pt>
                <c:pt idx="132">
                  <c:v>0.03</c:v>
                </c:pt>
                <c:pt idx="133">
                  <c:v>0.03</c:v>
                </c:pt>
                <c:pt idx="134">
                  <c:v>0.03</c:v>
                </c:pt>
                <c:pt idx="135">
                  <c:v>0.03</c:v>
                </c:pt>
                <c:pt idx="136">
                  <c:v>0.02</c:v>
                </c:pt>
                <c:pt idx="137">
                  <c:v>0.02</c:v>
                </c:pt>
                <c:pt idx="138">
                  <c:v>0.02</c:v>
                </c:pt>
                <c:pt idx="139">
                  <c:v>0.02</c:v>
                </c:pt>
                <c:pt idx="140">
                  <c:v>0.02</c:v>
                </c:pt>
                <c:pt idx="141">
                  <c:v>0.02</c:v>
                </c:pt>
                <c:pt idx="142">
                  <c:v>0.02</c:v>
                </c:pt>
                <c:pt idx="143">
                  <c:v>0.02</c:v>
                </c:pt>
                <c:pt idx="144">
                  <c:v>0.02</c:v>
                </c:pt>
                <c:pt idx="145">
                  <c:v>0.02</c:v>
                </c:pt>
                <c:pt idx="146">
                  <c:v>0.02</c:v>
                </c:pt>
                <c:pt idx="147">
                  <c:v>0.02</c:v>
                </c:pt>
                <c:pt idx="148">
                  <c:v>0.02</c:v>
                </c:pt>
                <c:pt idx="149">
                  <c:v>0.01</c:v>
                </c:pt>
                <c:pt idx="150">
                  <c:v>0.01</c:v>
                </c:pt>
                <c:pt idx="151">
                  <c:v>0.01</c:v>
                </c:pt>
                <c:pt idx="152">
                  <c:v>0.01</c:v>
                </c:pt>
                <c:pt idx="153">
                  <c:v>0.01</c:v>
                </c:pt>
                <c:pt idx="154">
                  <c:v>0.01</c:v>
                </c:pt>
                <c:pt idx="155">
                  <c:v>0.01</c:v>
                </c:pt>
                <c:pt idx="156">
                  <c:v>0.01</c:v>
                </c:pt>
                <c:pt idx="157">
                  <c:v>0.01</c:v>
                </c:pt>
                <c:pt idx="158">
                  <c:v>0.01</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c:v>
                </c:pt>
                <c:pt idx="215">
                  <c:v>0</c:v>
                </c:pt>
                <c:pt idx="216">
                  <c:v>0</c:v>
                </c:pt>
                <c:pt idx="217">
                  <c:v>0</c:v>
                </c:pt>
                <c:pt idx="218">
                  <c:v>0</c:v>
                </c:pt>
                <c:pt idx="219">
                  <c:v>0</c:v>
                </c:pt>
                <c:pt idx="220">
                  <c:v>0</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numCache>
            </c:numRef>
          </c:yVal>
          <c:smooth val="1"/>
          <c:extLst xmlns:c16r2="http://schemas.microsoft.com/office/drawing/2015/06/chart">
            <c:ext xmlns:c16="http://schemas.microsoft.com/office/drawing/2014/chart" uri="{C3380CC4-5D6E-409C-BE32-E72D297353CC}">
              <c16:uniqueId val="{00000004-023E-4C89-B2BA-AFA834A25DAC}"/>
            </c:ext>
          </c:extLst>
        </c:ser>
        <c:ser>
          <c:idx val="1"/>
          <c:order val="1"/>
          <c:tx>
            <c:v>4 Percent Annual Chance</c:v>
          </c:tx>
          <c:spPr>
            <a:ln>
              <a:solidFill>
                <a:srgbClr val="FFCC00"/>
              </a:solidFill>
            </a:ln>
          </c:spPr>
          <c:marker>
            <c:symbol val="none"/>
          </c:marker>
          <c:xVal>
            <c:numRef>
              <c:f>Precip!$A$3:$A$243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Precip!$C$3:$C$243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0.01</c:v>
                </c:pt>
                <c:pt idx="97">
                  <c:v>0.01</c:v>
                </c:pt>
                <c:pt idx="98">
                  <c:v>0.01</c:v>
                </c:pt>
                <c:pt idx="99">
                  <c:v>0.01</c:v>
                </c:pt>
                <c:pt idx="100">
                  <c:v>0.01</c:v>
                </c:pt>
                <c:pt idx="101">
                  <c:v>0.01</c:v>
                </c:pt>
                <c:pt idx="102">
                  <c:v>0.01</c:v>
                </c:pt>
                <c:pt idx="103">
                  <c:v>0.01</c:v>
                </c:pt>
                <c:pt idx="104">
                  <c:v>0.01</c:v>
                </c:pt>
                <c:pt idx="105">
                  <c:v>0.01</c:v>
                </c:pt>
                <c:pt idx="106">
                  <c:v>0.01</c:v>
                </c:pt>
                <c:pt idx="107">
                  <c:v>0.02</c:v>
                </c:pt>
                <c:pt idx="108">
                  <c:v>0.02</c:v>
                </c:pt>
                <c:pt idx="109">
                  <c:v>0.02</c:v>
                </c:pt>
                <c:pt idx="110">
                  <c:v>0.02</c:v>
                </c:pt>
                <c:pt idx="111">
                  <c:v>0.03</c:v>
                </c:pt>
                <c:pt idx="112">
                  <c:v>0.03</c:v>
                </c:pt>
                <c:pt idx="113">
                  <c:v>0.03</c:v>
                </c:pt>
                <c:pt idx="114">
                  <c:v>0.04</c:v>
                </c:pt>
                <c:pt idx="115">
                  <c:v>0.04</c:v>
                </c:pt>
                <c:pt idx="116">
                  <c:v>7.0000000000000007E-2</c:v>
                </c:pt>
                <c:pt idx="117">
                  <c:v>0.08</c:v>
                </c:pt>
                <c:pt idx="118">
                  <c:v>0.09</c:v>
                </c:pt>
                <c:pt idx="119">
                  <c:v>0.08</c:v>
                </c:pt>
                <c:pt idx="120">
                  <c:v>0.17</c:v>
                </c:pt>
                <c:pt idx="121">
                  <c:v>0.32</c:v>
                </c:pt>
                <c:pt idx="122">
                  <c:v>0.13</c:v>
                </c:pt>
                <c:pt idx="123">
                  <c:v>0.09</c:v>
                </c:pt>
                <c:pt idx="124">
                  <c:v>0.11</c:v>
                </c:pt>
                <c:pt idx="125">
                  <c:v>0.11</c:v>
                </c:pt>
                <c:pt idx="126">
                  <c:v>7.0000000000000007E-2</c:v>
                </c:pt>
                <c:pt idx="127">
                  <c:v>7.0000000000000007E-2</c:v>
                </c:pt>
                <c:pt idx="128">
                  <c:v>0.06</c:v>
                </c:pt>
                <c:pt idx="129">
                  <c:v>0.06</c:v>
                </c:pt>
                <c:pt idx="130">
                  <c:v>0.06</c:v>
                </c:pt>
                <c:pt idx="131">
                  <c:v>0.05</c:v>
                </c:pt>
                <c:pt idx="132">
                  <c:v>0.04</c:v>
                </c:pt>
                <c:pt idx="133">
                  <c:v>0.04</c:v>
                </c:pt>
                <c:pt idx="134">
                  <c:v>0.04</c:v>
                </c:pt>
                <c:pt idx="135">
                  <c:v>0.04</c:v>
                </c:pt>
                <c:pt idx="136">
                  <c:v>0.03</c:v>
                </c:pt>
                <c:pt idx="137">
                  <c:v>0.03</c:v>
                </c:pt>
                <c:pt idx="138">
                  <c:v>0.03</c:v>
                </c:pt>
                <c:pt idx="139">
                  <c:v>0.03</c:v>
                </c:pt>
                <c:pt idx="140">
                  <c:v>0.03</c:v>
                </c:pt>
                <c:pt idx="141">
                  <c:v>0.03</c:v>
                </c:pt>
                <c:pt idx="142">
                  <c:v>0.02</c:v>
                </c:pt>
                <c:pt idx="143">
                  <c:v>0.02</c:v>
                </c:pt>
                <c:pt idx="144">
                  <c:v>0.02</c:v>
                </c:pt>
                <c:pt idx="145">
                  <c:v>0.02</c:v>
                </c:pt>
                <c:pt idx="146">
                  <c:v>0.02</c:v>
                </c:pt>
                <c:pt idx="147">
                  <c:v>0.02</c:v>
                </c:pt>
                <c:pt idx="148">
                  <c:v>0.02</c:v>
                </c:pt>
                <c:pt idx="149">
                  <c:v>0.02</c:v>
                </c:pt>
                <c:pt idx="150">
                  <c:v>0.02</c:v>
                </c:pt>
                <c:pt idx="151">
                  <c:v>0.02</c:v>
                </c:pt>
                <c:pt idx="152">
                  <c:v>0.02</c:v>
                </c:pt>
                <c:pt idx="153">
                  <c:v>0.02</c:v>
                </c:pt>
                <c:pt idx="154">
                  <c:v>0.02</c:v>
                </c:pt>
                <c:pt idx="155">
                  <c:v>0.02</c:v>
                </c:pt>
                <c:pt idx="156">
                  <c:v>0.02</c:v>
                </c:pt>
                <c:pt idx="157">
                  <c:v>0.02</c:v>
                </c:pt>
                <c:pt idx="158">
                  <c:v>0.01</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3-023E-4C89-B2BA-AFA834A25DAC}"/>
            </c:ext>
          </c:extLst>
        </c:ser>
        <c:ser>
          <c:idx val="6"/>
          <c:order val="2"/>
          <c:tx>
            <c:v>1 Percent Minus Annual Chance</c:v>
          </c:tx>
          <c:marker>
            <c:symbol val="none"/>
          </c:marker>
          <c:xVal>
            <c:strRef>
              <c:f>Precip!$B$3:$B$243</c:f>
              <c:strCache>
                <c:ptCount val="241"/>
                <c:pt idx="0">
                  <c:v> </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0.01</c:v>
                </c:pt>
                <c:pt idx="106">
                  <c:v>0.01</c:v>
                </c:pt>
                <c:pt idx="107">
                  <c:v>0.01</c:v>
                </c:pt>
                <c:pt idx="108">
                  <c:v>0.01</c:v>
                </c:pt>
                <c:pt idx="109">
                  <c:v>0.01</c:v>
                </c:pt>
                <c:pt idx="110">
                  <c:v>0.01</c:v>
                </c:pt>
                <c:pt idx="111">
                  <c:v>0.02</c:v>
                </c:pt>
                <c:pt idx="112">
                  <c:v>0.02</c:v>
                </c:pt>
                <c:pt idx="113">
                  <c:v>0.02</c:v>
                </c:pt>
                <c:pt idx="114">
                  <c:v>0.02</c:v>
                </c:pt>
                <c:pt idx="115">
                  <c:v>0.03</c:v>
                </c:pt>
                <c:pt idx="116">
                  <c:v>0.04</c:v>
                </c:pt>
                <c:pt idx="117">
                  <c:v>0.05</c:v>
                </c:pt>
                <c:pt idx="118">
                  <c:v>0.06</c:v>
                </c:pt>
                <c:pt idx="119">
                  <c:v>0.06</c:v>
                </c:pt>
                <c:pt idx="120">
                  <c:v>0.12</c:v>
                </c:pt>
                <c:pt idx="121">
                  <c:v>0.23</c:v>
                </c:pt>
                <c:pt idx="122">
                  <c:v>0.09</c:v>
                </c:pt>
                <c:pt idx="123">
                  <c:v>0.07</c:v>
                </c:pt>
                <c:pt idx="124">
                  <c:v>0.08</c:v>
                </c:pt>
                <c:pt idx="125">
                  <c:v>0.08</c:v>
                </c:pt>
                <c:pt idx="126">
                  <c:v>0.05</c:v>
                </c:pt>
                <c:pt idx="127">
                  <c:v>0.05</c:v>
                </c:pt>
                <c:pt idx="128">
                  <c:v>0.05</c:v>
                </c:pt>
                <c:pt idx="129">
                  <c:v>0.04</c:v>
                </c:pt>
                <c:pt idx="130">
                  <c:v>0.04</c:v>
                </c:pt>
                <c:pt idx="131">
                  <c:v>0.03</c:v>
                </c:pt>
                <c:pt idx="132">
                  <c:v>0.03</c:v>
                </c:pt>
                <c:pt idx="133">
                  <c:v>0.03</c:v>
                </c:pt>
                <c:pt idx="134">
                  <c:v>0.03</c:v>
                </c:pt>
                <c:pt idx="135">
                  <c:v>0.03</c:v>
                </c:pt>
                <c:pt idx="136">
                  <c:v>0.02</c:v>
                </c:pt>
                <c:pt idx="137">
                  <c:v>0.02</c:v>
                </c:pt>
                <c:pt idx="138">
                  <c:v>0.02</c:v>
                </c:pt>
                <c:pt idx="139">
                  <c:v>0.02</c:v>
                </c:pt>
                <c:pt idx="140">
                  <c:v>0.02</c:v>
                </c:pt>
                <c:pt idx="141">
                  <c:v>0.02</c:v>
                </c:pt>
                <c:pt idx="142">
                  <c:v>0.02</c:v>
                </c:pt>
                <c:pt idx="143">
                  <c:v>0.02</c:v>
                </c:pt>
                <c:pt idx="144">
                  <c:v>0.02</c:v>
                </c:pt>
                <c:pt idx="145">
                  <c:v>0.02</c:v>
                </c:pt>
                <c:pt idx="146">
                  <c:v>0.02</c:v>
                </c:pt>
                <c:pt idx="147">
                  <c:v>0.02</c:v>
                </c:pt>
                <c:pt idx="148">
                  <c:v>0.02</c:v>
                </c:pt>
                <c:pt idx="149">
                  <c:v>0.01</c:v>
                </c:pt>
                <c:pt idx="150">
                  <c:v>0.01</c:v>
                </c:pt>
                <c:pt idx="151">
                  <c:v>0.01</c:v>
                </c:pt>
                <c:pt idx="152">
                  <c:v>0.01</c:v>
                </c:pt>
                <c:pt idx="153">
                  <c:v>0.01</c:v>
                </c:pt>
                <c:pt idx="154">
                  <c:v>0.01</c:v>
                </c:pt>
                <c:pt idx="155">
                  <c:v>0.01</c:v>
                </c:pt>
                <c:pt idx="156">
                  <c:v>0.01</c:v>
                </c:pt>
                <c:pt idx="157">
                  <c:v>0.01</c:v>
                </c:pt>
                <c:pt idx="158">
                  <c:v>0.01</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c:v>
                </c:pt>
                <c:pt idx="215">
                  <c:v>0</c:v>
                </c:pt>
                <c:pt idx="216">
                  <c:v>0</c:v>
                </c:pt>
                <c:pt idx="217">
                  <c:v>0</c:v>
                </c:pt>
                <c:pt idx="218">
                  <c:v>0</c:v>
                </c:pt>
                <c:pt idx="219">
                  <c:v>0</c:v>
                </c:pt>
                <c:pt idx="220">
                  <c:v>0</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strCache>
            </c:strRef>
          </c:xVal>
          <c:yVal>
            <c:numRef>
              <c:f>Precip!$H$3:$H$243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0.01</c:v>
                </c:pt>
                <c:pt idx="109">
                  <c:v>0.01</c:v>
                </c:pt>
                <c:pt idx="110">
                  <c:v>0.01</c:v>
                </c:pt>
                <c:pt idx="111">
                  <c:v>0.01</c:v>
                </c:pt>
                <c:pt idx="112">
                  <c:v>0.01</c:v>
                </c:pt>
                <c:pt idx="113">
                  <c:v>0.02</c:v>
                </c:pt>
                <c:pt idx="114">
                  <c:v>0.02</c:v>
                </c:pt>
                <c:pt idx="115">
                  <c:v>0.02</c:v>
                </c:pt>
                <c:pt idx="116">
                  <c:v>0.03</c:v>
                </c:pt>
                <c:pt idx="117">
                  <c:v>0.04</c:v>
                </c:pt>
                <c:pt idx="118">
                  <c:v>0.05</c:v>
                </c:pt>
                <c:pt idx="119">
                  <c:v>0.04</c:v>
                </c:pt>
                <c:pt idx="120">
                  <c:v>0.09</c:v>
                </c:pt>
                <c:pt idx="121">
                  <c:v>0.19</c:v>
                </c:pt>
                <c:pt idx="122">
                  <c:v>0.08</c:v>
                </c:pt>
                <c:pt idx="123">
                  <c:v>0.06</c:v>
                </c:pt>
                <c:pt idx="124">
                  <c:v>7.0000000000000007E-2</c:v>
                </c:pt>
                <c:pt idx="125">
                  <c:v>7.0000000000000007E-2</c:v>
                </c:pt>
                <c:pt idx="126">
                  <c:v>0.05</c:v>
                </c:pt>
                <c:pt idx="127">
                  <c:v>0.05</c:v>
                </c:pt>
                <c:pt idx="128">
                  <c:v>0.05</c:v>
                </c:pt>
                <c:pt idx="129">
                  <c:v>0.05</c:v>
                </c:pt>
                <c:pt idx="130">
                  <c:v>0.04</c:v>
                </c:pt>
                <c:pt idx="131">
                  <c:v>0.04</c:v>
                </c:pt>
                <c:pt idx="132">
                  <c:v>0.03</c:v>
                </c:pt>
                <c:pt idx="133">
                  <c:v>0.03</c:v>
                </c:pt>
                <c:pt idx="134">
                  <c:v>0.03</c:v>
                </c:pt>
                <c:pt idx="135">
                  <c:v>0.03</c:v>
                </c:pt>
                <c:pt idx="136">
                  <c:v>0.02</c:v>
                </c:pt>
                <c:pt idx="137">
                  <c:v>0.02</c:v>
                </c:pt>
                <c:pt idx="138">
                  <c:v>0.02</c:v>
                </c:pt>
                <c:pt idx="139">
                  <c:v>0.02</c:v>
                </c:pt>
                <c:pt idx="140">
                  <c:v>0.02</c:v>
                </c:pt>
                <c:pt idx="141">
                  <c:v>0.02</c:v>
                </c:pt>
                <c:pt idx="142">
                  <c:v>0.02</c:v>
                </c:pt>
                <c:pt idx="143">
                  <c:v>0.02</c:v>
                </c:pt>
                <c:pt idx="144">
                  <c:v>0.02</c:v>
                </c:pt>
                <c:pt idx="145">
                  <c:v>0.02</c:v>
                </c:pt>
                <c:pt idx="146">
                  <c:v>0.02</c:v>
                </c:pt>
                <c:pt idx="147">
                  <c:v>0.02</c:v>
                </c:pt>
                <c:pt idx="148">
                  <c:v>0.02</c:v>
                </c:pt>
                <c:pt idx="149">
                  <c:v>0.02</c:v>
                </c:pt>
                <c:pt idx="150">
                  <c:v>0.02</c:v>
                </c:pt>
                <c:pt idx="151">
                  <c:v>0.01</c:v>
                </c:pt>
                <c:pt idx="152">
                  <c:v>0.01</c:v>
                </c:pt>
                <c:pt idx="153">
                  <c:v>0.01</c:v>
                </c:pt>
                <c:pt idx="154">
                  <c:v>0.01</c:v>
                </c:pt>
                <c:pt idx="155">
                  <c:v>0.01</c:v>
                </c:pt>
                <c:pt idx="156">
                  <c:v>0.01</c:v>
                </c:pt>
                <c:pt idx="157">
                  <c:v>0.01</c:v>
                </c:pt>
                <c:pt idx="158">
                  <c:v>0.01</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c:v>
                </c:pt>
                <c:pt idx="238">
                  <c:v>0</c:v>
                </c:pt>
                <c:pt idx="239">
                  <c:v>0</c:v>
                </c:pt>
                <c:pt idx="240">
                  <c:v>0</c:v>
                </c:pt>
              </c:numCache>
            </c:numRef>
          </c:yVal>
          <c:smooth val="1"/>
        </c:ser>
        <c:ser>
          <c:idx val="2"/>
          <c:order val="3"/>
          <c:tx>
            <c:v>2 Percent Annual Chance</c:v>
          </c:tx>
          <c:spPr>
            <a:ln>
              <a:solidFill>
                <a:schemeClr val="tx2">
                  <a:lumMod val="60000"/>
                  <a:lumOff val="40000"/>
                </a:schemeClr>
              </a:solidFill>
            </a:ln>
          </c:spPr>
          <c:marker>
            <c:symbol val="none"/>
          </c:marker>
          <c:xVal>
            <c:numRef>
              <c:f>Precip!$A$3:$A$243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Precip!$D$3:$D$243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0.01</c:v>
                </c:pt>
                <c:pt idx="92">
                  <c:v>0.01</c:v>
                </c:pt>
                <c:pt idx="93">
                  <c:v>0.01</c:v>
                </c:pt>
                <c:pt idx="94">
                  <c:v>0.01</c:v>
                </c:pt>
                <c:pt idx="95">
                  <c:v>0.01</c:v>
                </c:pt>
                <c:pt idx="96">
                  <c:v>0.01</c:v>
                </c:pt>
                <c:pt idx="97">
                  <c:v>0.01</c:v>
                </c:pt>
                <c:pt idx="98">
                  <c:v>0.01</c:v>
                </c:pt>
                <c:pt idx="99">
                  <c:v>0.01</c:v>
                </c:pt>
                <c:pt idx="100">
                  <c:v>0.01</c:v>
                </c:pt>
                <c:pt idx="101">
                  <c:v>0.01</c:v>
                </c:pt>
                <c:pt idx="102">
                  <c:v>0.01</c:v>
                </c:pt>
                <c:pt idx="103">
                  <c:v>0.01</c:v>
                </c:pt>
                <c:pt idx="104">
                  <c:v>0.01</c:v>
                </c:pt>
                <c:pt idx="105">
                  <c:v>0.02</c:v>
                </c:pt>
                <c:pt idx="106">
                  <c:v>0.02</c:v>
                </c:pt>
                <c:pt idx="107">
                  <c:v>0.02</c:v>
                </c:pt>
                <c:pt idx="108">
                  <c:v>0.03</c:v>
                </c:pt>
                <c:pt idx="109">
                  <c:v>0.03</c:v>
                </c:pt>
                <c:pt idx="110">
                  <c:v>0.03</c:v>
                </c:pt>
                <c:pt idx="111">
                  <c:v>0.04</c:v>
                </c:pt>
                <c:pt idx="112">
                  <c:v>0.04</c:v>
                </c:pt>
                <c:pt idx="113">
                  <c:v>0.05</c:v>
                </c:pt>
                <c:pt idx="114">
                  <c:v>0.05</c:v>
                </c:pt>
                <c:pt idx="115">
                  <c:v>0.06</c:v>
                </c:pt>
                <c:pt idx="116">
                  <c:v>0.09</c:v>
                </c:pt>
                <c:pt idx="117">
                  <c:v>0.1</c:v>
                </c:pt>
                <c:pt idx="118">
                  <c:v>0.11</c:v>
                </c:pt>
                <c:pt idx="119">
                  <c:v>0.1</c:v>
                </c:pt>
                <c:pt idx="120">
                  <c:v>0.2</c:v>
                </c:pt>
                <c:pt idx="121">
                  <c:v>0.39</c:v>
                </c:pt>
                <c:pt idx="122">
                  <c:v>0.15</c:v>
                </c:pt>
                <c:pt idx="123">
                  <c:v>0.1</c:v>
                </c:pt>
                <c:pt idx="124">
                  <c:v>0.13</c:v>
                </c:pt>
                <c:pt idx="125">
                  <c:v>0.12</c:v>
                </c:pt>
                <c:pt idx="126">
                  <c:v>0.09</c:v>
                </c:pt>
                <c:pt idx="127">
                  <c:v>0.08</c:v>
                </c:pt>
                <c:pt idx="128">
                  <c:v>0.08</c:v>
                </c:pt>
                <c:pt idx="129">
                  <c:v>7.0000000000000007E-2</c:v>
                </c:pt>
                <c:pt idx="130">
                  <c:v>7.0000000000000007E-2</c:v>
                </c:pt>
                <c:pt idx="131">
                  <c:v>0.06</c:v>
                </c:pt>
                <c:pt idx="132">
                  <c:v>0.05</c:v>
                </c:pt>
                <c:pt idx="133">
                  <c:v>0.05</c:v>
                </c:pt>
                <c:pt idx="134">
                  <c:v>0.05</c:v>
                </c:pt>
                <c:pt idx="135">
                  <c:v>0.05</c:v>
                </c:pt>
                <c:pt idx="136">
                  <c:v>0.04</c:v>
                </c:pt>
                <c:pt idx="137">
                  <c:v>0.04</c:v>
                </c:pt>
                <c:pt idx="138">
                  <c:v>0.03</c:v>
                </c:pt>
                <c:pt idx="139">
                  <c:v>0.03</c:v>
                </c:pt>
                <c:pt idx="140">
                  <c:v>0.03</c:v>
                </c:pt>
                <c:pt idx="141">
                  <c:v>0.03</c:v>
                </c:pt>
                <c:pt idx="142">
                  <c:v>0.03</c:v>
                </c:pt>
                <c:pt idx="143">
                  <c:v>0.03</c:v>
                </c:pt>
                <c:pt idx="144">
                  <c:v>0.03</c:v>
                </c:pt>
                <c:pt idx="145">
                  <c:v>0.03</c:v>
                </c:pt>
                <c:pt idx="146">
                  <c:v>0.03</c:v>
                </c:pt>
                <c:pt idx="147">
                  <c:v>0.03</c:v>
                </c:pt>
                <c:pt idx="148">
                  <c:v>0.03</c:v>
                </c:pt>
                <c:pt idx="149">
                  <c:v>0.03</c:v>
                </c:pt>
                <c:pt idx="150">
                  <c:v>0.02</c:v>
                </c:pt>
                <c:pt idx="151">
                  <c:v>0.02</c:v>
                </c:pt>
                <c:pt idx="152">
                  <c:v>0.02</c:v>
                </c:pt>
                <c:pt idx="153">
                  <c:v>0.02</c:v>
                </c:pt>
                <c:pt idx="154">
                  <c:v>0.02</c:v>
                </c:pt>
                <c:pt idx="155">
                  <c:v>0.02</c:v>
                </c:pt>
                <c:pt idx="156">
                  <c:v>0.02</c:v>
                </c:pt>
                <c:pt idx="157">
                  <c:v>0.02</c:v>
                </c:pt>
                <c:pt idx="158">
                  <c:v>0.02</c:v>
                </c:pt>
                <c:pt idx="159">
                  <c:v>0.02</c:v>
                </c:pt>
                <c:pt idx="160">
                  <c:v>0.02</c:v>
                </c:pt>
                <c:pt idx="161">
                  <c:v>0.02</c:v>
                </c:pt>
                <c:pt idx="162">
                  <c:v>0.02</c:v>
                </c:pt>
                <c:pt idx="163">
                  <c:v>0.02</c:v>
                </c:pt>
                <c:pt idx="164">
                  <c:v>0.02</c:v>
                </c:pt>
                <c:pt idx="165">
                  <c:v>0.02</c:v>
                </c:pt>
                <c:pt idx="166">
                  <c:v>0.02</c:v>
                </c:pt>
                <c:pt idx="167">
                  <c:v>0.02</c:v>
                </c:pt>
                <c:pt idx="168">
                  <c:v>0.02</c:v>
                </c:pt>
                <c:pt idx="169">
                  <c:v>0.02</c:v>
                </c:pt>
                <c:pt idx="170">
                  <c:v>0.02</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2-023E-4C89-B2BA-AFA834A25DAC}"/>
            </c:ext>
          </c:extLst>
        </c:ser>
        <c:ser>
          <c:idx val="3"/>
          <c:order val="4"/>
          <c:tx>
            <c:v>1 Percent Annual Chance</c:v>
          </c:tx>
          <c:spPr>
            <a:ln>
              <a:solidFill>
                <a:schemeClr val="tx1"/>
              </a:solidFill>
            </a:ln>
          </c:spPr>
          <c:marker>
            <c:symbol val="none"/>
          </c:marker>
          <c:xVal>
            <c:numRef>
              <c:f>Precip!$A$3:$A$243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Precip!$E$3:$E$243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0.01</c:v>
                </c:pt>
                <c:pt idx="86">
                  <c:v>0.01</c:v>
                </c:pt>
                <c:pt idx="87">
                  <c:v>0.01</c:v>
                </c:pt>
                <c:pt idx="88">
                  <c:v>0.01</c:v>
                </c:pt>
                <c:pt idx="89">
                  <c:v>0.01</c:v>
                </c:pt>
                <c:pt idx="90">
                  <c:v>0.01</c:v>
                </c:pt>
                <c:pt idx="91">
                  <c:v>0.01</c:v>
                </c:pt>
                <c:pt idx="92">
                  <c:v>0.01</c:v>
                </c:pt>
                <c:pt idx="93">
                  <c:v>0.01</c:v>
                </c:pt>
                <c:pt idx="94">
                  <c:v>0.01</c:v>
                </c:pt>
                <c:pt idx="95">
                  <c:v>0.01</c:v>
                </c:pt>
                <c:pt idx="96">
                  <c:v>0.01</c:v>
                </c:pt>
                <c:pt idx="97">
                  <c:v>0.01</c:v>
                </c:pt>
                <c:pt idx="98">
                  <c:v>0.01</c:v>
                </c:pt>
                <c:pt idx="99">
                  <c:v>0.02</c:v>
                </c:pt>
                <c:pt idx="100">
                  <c:v>0.02</c:v>
                </c:pt>
                <c:pt idx="101">
                  <c:v>0.02</c:v>
                </c:pt>
                <c:pt idx="102">
                  <c:v>0.02</c:v>
                </c:pt>
                <c:pt idx="103">
                  <c:v>0.02</c:v>
                </c:pt>
                <c:pt idx="104">
                  <c:v>0.02</c:v>
                </c:pt>
                <c:pt idx="105">
                  <c:v>0.02</c:v>
                </c:pt>
                <c:pt idx="106">
                  <c:v>0.03</c:v>
                </c:pt>
                <c:pt idx="107">
                  <c:v>0.03</c:v>
                </c:pt>
                <c:pt idx="108">
                  <c:v>0.03</c:v>
                </c:pt>
                <c:pt idx="109">
                  <c:v>0.04</c:v>
                </c:pt>
                <c:pt idx="110">
                  <c:v>0.04</c:v>
                </c:pt>
                <c:pt idx="111">
                  <c:v>0.05</c:v>
                </c:pt>
                <c:pt idx="112">
                  <c:v>0.06</c:v>
                </c:pt>
                <c:pt idx="113">
                  <c:v>0.06</c:v>
                </c:pt>
                <c:pt idx="114">
                  <c:v>7.0000000000000007E-2</c:v>
                </c:pt>
                <c:pt idx="115">
                  <c:v>0.08</c:v>
                </c:pt>
                <c:pt idx="116">
                  <c:v>0.11</c:v>
                </c:pt>
                <c:pt idx="117">
                  <c:v>0.12</c:v>
                </c:pt>
                <c:pt idx="118">
                  <c:v>0.14000000000000001</c:v>
                </c:pt>
                <c:pt idx="119">
                  <c:v>0.12</c:v>
                </c:pt>
                <c:pt idx="120">
                  <c:v>0.24</c:v>
                </c:pt>
                <c:pt idx="121">
                  <c:v>0.46</c:v>
                </c:pt>
                <c:pt idx="122">
                  <c:v>0.18</c:v>
                </c:pt>
                <c:pt idx="123">
                  <c:v>0.12</c:v>
                </c:pt>
                <c:pt idx="124">
                  <c:v>0.16</c:v>
                </c:pt>
                <c:pt idx="125">
                  <c:v>0.15</c:v>
                </c:pt>
                <c:pt idx="126">
                  <c:v>0.11</c:v>
                </c:pt>
                <c:pt idx="127">
                  <c:v>0.1</c:v>
                </c:pt>
                <c:pt idx="128">
                  <c:v>0.09</c:v>
                </c:pt>
                <c:pt idx="129">
                  <c:v>0.09</c:v>
                </c:pt>
                <c:pt idx="130">
                  <c:v>0.08</c:v>
                </c:pt>
                <c:pt idx="131">
                  <c:v>7.0000000000000007E-2</c:v>
                </c:pt>
                <c:pt idx="132">
                  <c:v>7.0000000000000007E-2</c:v>
                </c:pt>
                <c:pt idx="133">
                  <c:v>0.06</c:v>
                </c:pt>
                <c:pt idx="134">
                  <c:v>0.06</c:v>
                </c:pt>
                <c:pt idx="135">
                  <c:v>0.06</c:v>
                </c:pt>
                <c:pt idx="136">
                  <c:v>0.05</c:v>
                </c:pt>
                <c:pt idx="137">
                  <c:v>0.04</c:v>
                </c:pt>
                <c:pt idx="138">
                  <c:v>0.04</c:v>
                </c:pt>
                <c:pt idx="139">
                  <c:v>0.04</c:v>
                </c:pt>
                <c:pt idx="140">
                  <c:v>0.04</c:v>
                </c:pt>
                <c:pt idx="141">
                  <c:v>0.04</c:v>
                </c:pt>
                <c:pt idx="142">
                  <c:v>0.04</c:v>
                </c:pt>
                <c:pt idx="143">
                  <c:v>0.04</c:v>
                </c:pt>
                <c:pt idx="144">
                  <c:v>0.04</c:v>
                </c:pt>
                <c:pt idx="145">
                  <c:v>0.03</c:v>
                </c:pt>
                <c:pt idx="146">
                  <c:v>0.03</c:v>
                </c:pt>
                <c:pt idx="147">
                  <c:v>0.03</c:v>
                </c:pt>
                <c:pt idx="148">
                  <c:v>0.03</c:v>
                </c:pt>
                <c:pt idx="149">
                  <c:v>0.03</c:v>
                </c:pt>
                <c:pt idx="150">
                  <c:v>0.03</c:v>
                </c:pt>
                <c:pt idx="151">
                  <c:v>0.03</c:v>
                </c:pt>
                <c:pt idx="152">
                  <c:v>0.02</c:v>
                </c:pt>
                <c:pt idx="153">
                  <c:v>0.02</c:v>
                </c:pt>
                <c:pt idx="154">
                  <c:v>0.02</c:v>
                </c:pt>
                <c:pt idx="155">
                  <c:v>0.02</c:v>
                </c:pt>
                <c:pt idx="156">
                  <c:v>0.02</c:v>
                </c:pt>
                <c:pt idx="157">
                  <c:v>0.02</c:v>
                </c:pt>
                <c:pt idx="158">
                  <c:v>0.02</c:v>
                </c:pt>
                <c:pt idx="159">
                  <c:v>0.02</c:v>
                </c:pt>
                <c:pt idx="160">
                  <c:v>0.02</c:v>
                </c:pt>
                <c:pt idx="161">
                  <c:v>0.02</c:v>
                </c:pt>
                <c:pt idx="162">
                  <c:v>0.02</c:v>
                </c:pt>
                <c:pt idx="163">
                  <c:v>0.02</c:v>
                </c:pt>
                <c:pt idx="164">
                  <c:v>0.02</c:v>
                </c:pt>
                <c:pt idx="165">
                  <c:v>0.02</c:v>
                </c:pt>
                <c:pt idx="166">
                  <c:v>0.02</c:v>
                </c:pt>
                <c:pt idx="167">
                  <c:v>0.02</c:v>
                </c:pt>
                <c:pt idx="168">
                  <c:v>0.02</c:v>
                </c:pt>
                <c:pt idx="169">
                  <c:v>0.02</c:v>
                </c:pt>
                <c:pt idx="170">
                  <c:v>0.02</c:v>
                </c:pt>
                <c:pt idx="171">
                  <c:v>0.02</c:v>
                </c:pt>
                <c:pt idx="172">
                  <c:v>0.02</c:v>
                </c:pt>
                <c:pt idx="173">
                  <c:v>0.02</c:v>
                </c:pt>
                <c:pt idx="174">
                  <c:v>0.02</c:v>
                </c:pt>
                <c:pt idx="175">
                  <c:v>0.02</c:v>
                </c:pt>
                <c:pt idx="176">
                  <c:v>0.02</c:v>
                </c:pt>
                <c:pt idx="177">
                  <c:v>0.02</c:v>
                </c:pt>
                <c:pt idx="178">
                  <c:v>0.02</c:v>
                </c:pt>
                <c:pt idx="179">
                  <c:v>0.02</c:v>
                </c:pt>
                <c:pt idx="180">
                  <c:v>0.02</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1-023E-4C89-B2BA-AFA834A25DAC}"/>
            </c:ext>
          </c:extLst>
        </c:ser>
        <c:ser>
          <c:idx val="5"/>
          <c:order val="5"/>
          <c:tx>
            <c:v>1 Percent Plus Annual Chance</c:v>
          </c:tx>
          <c:marker>
            <c:symbol val="none"/>
          </c:marker>
          <c:xVal>
            <c:numRef>
              <c:f>Precip!$A$3:$A$243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Precip!$G$3:$G$243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0.01</c:v>
                </c:pt>
                <c:pt idx="61">
                  <c:v>0.01</c:v>
                </c:pt>
                <c:pt idx="62">
                  <c:v>0.01</c:v>
                </c:pt>
                <c:pt idx="63">
                  <c:v>0.01</c:v>
                </c:pt>
                <c:pt idx="64">
                  <c:v>0.01</c:v>
                </c:pt>
                <c:pt idx="65">
                  <c:v>0.01</c:v>
                </c:pt>
                <c:pt idx="66">
                  <c:v>0.01</c:v>
                </c:pt>
                <c:pt idx="67">
                  <c:v>0.01</c:v>
                </c:pt>
                <c:pt idx="68">
                  <c:v>0.01</c:v>
                </c:pt>
                <c:pt idx="69">
                  <c:v>0.01</c:v>
                </c:pt>
                <c:pt idx="70">
                  <c:v>0.01</c:v>
                </c:pt>
                <c:pt idx="71">
                  <c:v>0.01</c:v>
                </c:pt>
                <c:pt idx="72">
                  <c:v>0.01</c:v>
                </c:pt>
                <c:pt idx="73">
                  <c:v>0.01</c:v>
                </c:pt>
                <c:pt idx="74">
                  <c:v>0.01</c:v>
                </c:pt>
                <c:pt idx="75">
                  <c:v>0.01</c:v>
                </c:pt>
                <c:pt idx="76">
                  <c:v>0.01</c:v>
                </c:pt>
                <c:pt idx="77">
                  <c:v>0.01</c:v>
                </c:pt>
                <c:pt idx="78">
                  <c:v>0.01</c:v>
                </c:pt>
                <c:pt idx="79">
                  <c:v>0.01</c:v>
                </c:pt>
                <c:pt idx="80">
                  <c:v>0.01</c:v>
                </c:pt>
                <c:pt idx="81">
                  <c:v>0.01</c:v>
                </c:pt>
                <c:pt idx="82">
                  <c:v>0.02</c:v>
                </c:pt>
                <c:pt idx="83">
                  <c:v>0.02</c:v>
                </c:pt>
                <c:pt idx="84">
                  <c:v>0.02</c:v>
                </c:pt>
                <c:pt idx="85">
                  <c:v>0.02</c:v>
                </c:pt>
                <c:pt idx="86">
                  <c:v>0.02</c:v>
                </c:pt>
                <c:pt idx="87">
                  <c:v>0.02</c:v>
                </c:pt>
                <c:pt idx="88">
                  <c:v>0.02</c:v>
                </c:pt>
                <c:pt idx="89">
                  <c:v>0.02</c:v>
                </c:pt>
                <c:pt idx="90">
                  <c:v>0.02</c:v>
                </c:pt>
                <c:pt idx="91">
                  <c:v>0.03</c:v>
                </c:pt>
                <c:pt idx="92">
                  <c:v>0.03</c:v>
                </c:pt>
                <c:pt idx="93">
                  <c:v>0.03</c:v>
                </c:pt>
                <c:pt idx="94">
                  <c:v>0.03</c:v>
                </c:pt>
                <c:pt idx="95">
                  <c:v>0.03</c:v>
                </c:pt>
                <c:pt idx="96">
                  <c:v>0.03</c:v>
                </c:pt>
                <c:pt idx="97">
                  <c:v>0.03</c:v>
                </c:pt>
                <c:pt idx="98">
                  <c:v>0.03</c:v>
                </c:pt>
                <c:pt idx="99">
                  <c:v>0.04</c:v>
                </c:pt>
                <c:pt idx="100">
                  <c:v>0.04</c:v>
                </c:pt>
                <c:pt idx="101">
                  <c:v>0.04</c:v>
                </c:pt>
                <c:pt idx="102">
                  <c:v>0.04</c:v>
                </c:pt>
                <c:pt idx="103">
                  <c:v>0.04</c:v>
                </c:pt>
                <c:pt idx="104">
                  <c:v>0.04</c:v>
                </c:pt>
                <c:pt idx="105">
                  <c:v>0.05</c:v>
                </c:pt>
                <c:pt idx="106">
                  <c:v>0.06</c:v>
                </c:pt>
                <c:pt idx="107">
                  <c:v>0.06</c:v>
                </c:pt>
                <c:pt idx="108">
                  <c:v>7.0000000000000007E-2</c:v>
                </c:pt>
                <c:pt idx="109">
                  <c:v>7.0000000000000007E-2</c:v>
                </c:pt>
                <c:pt idx="110">
                  <c:v>0.08</c:v>
                </c:pt>
                <c:pt idx="111">
                  <c:v>0.1</c:v>
                </c:pt>
                <c:pt idx="112">
                  <c:v>0.1</c:v>
                </c:pt>
                <c:pt idx="113">
                  <c:v>0.11</c:v>
                </c:pt>
                <c:pt idx="114">
                  <c:v>0.12</c:v>
                </c:pt>
                <c:pt idx="115">
                  <c:v>0.13</c:v>
                </c:pt>
                <c:pt idx="116">
                  <c:v>0.19</c:v>
                </c:pt>
                <c:pt idx="117">
                  <c:v>0.2</c:v>
                </c:pt>
                <c:pt idx="118">
                  <c:v>0.23</c:v>
                </c:pt>
                <c:pt idx="119">
                  <c:v>0.2</c:v>
                </c:pt>
                <c:pt idx="120">
                  <c:v>0.38</c:v>
                </c:pt>
                <c:pt idx="121">
                  <c:v>0.7</c:v>
                </c:pt>
                <c:pt idx="122">
                  <c:v>0.26</c:v>
                </c:pt>
                <c:pt idx="123">
                  <c:v>0.18</c:v>
                </c:pt>
                <c:pt idx="124">
                  <c:v>0.23</c:v>
                </c:pt>
                <c:pt idx="125">
                  <c:v>0.21</c:v>
                </c:pt>
                <c:pt idx="126">
                  <c:v>0.15</c:v>
                </c:pt>
                <c:pt idx="127">
                  <c:v>0.14000000000000001</c:v>
                </c:pt>
                <c:pt idx="128">
                  <c:v>0.13</c:v>
                </c:pt>
                <c:pt idx="129">
                  <c:v>0.12</c:v>
                </c:pt>
                <c:pt idx="130">
                  <c:v>0.12</c:v>
                </c:pt>
                <c:pt idx="131">
                  <c:v>0.1</c:v>
                </c:pt>
                <c:pt idx="132">
                  <c:v>0.09</c:v>
                </c:pt>
                <c:pt idx="133">
                  <c:v>0.09</c:v>
                </c:pt>
                <c:pt idx="134">
                  <c:v>0.08</c:v>
                </c:pt>
                <c:pt idx="135">
                  <c:v>0.08</c:v>
                </c:pt>
                <c:pt idx="136">
                  <c:v>0.06</c:v>
                </c:pt>
                <c:pt idx="137">
                  <c:v>0.06</c:v>
                </c:pt>
                <c:pt idx="138">
                  <c:v>0.06</c:v>
                </c:pt>
                <c:pt idx="139">
                  <c:v>0.05</c:v>
                </c:pt>
                <c:pt idx="140">
                  <c:v>0.05</c:v>
                </c:pt>
                <c:pt idx="141">
                  <c:v>0.05</c:v>
                </c:pt>
                <c:pt idx="142">
                  <c:v>0.05</c:v>
                </c:pt>
                <c:pt idx="143">
                  <c:v>0.05</c:v>
                </c:pt>
                <c:pt idx="144">
                  <c:v>0.05</c:v>
                </c:pt>
                <c:pt idx="145">
                  <c:v>0.05</c:v>
                </c:pt>
                <c:pt idx="146">
                  <c:v>0.04</c:v>
                </c:pt>
                <c:pt idx="147">
                  <c:v>0.04</c:v>
                </c:pt>
                <c:pt idx="148">
                  <c:v>0.04</c:v>
                </c:pt>
                <c:pt idx="149">
                  <c:v>0.04</c:v>
                </c:pt>
                <c:pt idx="150">
                  <c:v>0.04</c:v>
                </c:pt>
                <c:pt idx="151">
                  <c:v>0.03</c:v>
                </c:pt>
                <c:pt idx="152">
                  <c:v>0.03</c:v>
                </c:pt>
                <c:pt idx="153">
                  <c:v>0.03</c:v>
                </c:pt>
                <c:pt idx="154">
                  <c:v>0.03</c:v>
                </c:pt>
                <c:pt idx="155">
                  <c:v>0.03</c:v>
                </c:pt>
                <c:pt idx="156">
                  <c:v>0.03</c:v>
                </c:pt>
                <c:pt idx="157">
                  <c:v>0.03</c:v>
                </c:pt>
                <c:pt idx="158">
                  <c:v>0.03</c:v>
                </c:pt>
                <c:pt idx="159">
                  <c:v>0.03</c:v>
                </c:pt>
                <c:pt idx="160">
                  <c:v>0.03</c:v>
                </c:pt>
                <c:pt idx="161">
                  <c:v>0.03</c:v>
                </c:pt>
                <c:pt idx="162">
                  <c:v>0.03</c:v>
                </c:pt>
                <c:pt idx="163">
                  <c:v>0.03</c:v>
                </c:pt>
                <c:pt idx="164">
                  <c:v>0.03</c:v>
                </c:pt>
                <c:pt idx="165">
                  <c:v>0.03</c:v>
                </c:pt>
                <c:pt idx="166">
                  <c:v>0.03</c:v>
                </c:pt>
                <c:pt idx="167">
                  <c:v>0.02</c:v>
                </c:pt>
                <c:pt idx="168">
                  <c:v>0.02</c:v>
                </c:pt>
                <c:pt idx="169">
                  <c:v>0.02</c:v>
                </c:pt>
                <c:pt idx="170">
                  <c:v>0.02</c:v>
                </c:pt>
                <c:pt idx="171">
                  <c:v>0.02</c:v>
                </c:pt>
                <c:pt idx="172">
                  <c:v>0.02</c:v>
                </c:pt>
                <c:pt idx="173">
                  <c:v>0.02</c:v>
                </c:pt>
                <c:pt idx="174">
                  <c:v>0.02</c:v>
                </c:pt>
                <c:pt idx="175">
                  <c:v>0.02</c:v>
                </c:pt>
                <c:pt idx="176">
                  <c:v>0.02</c:v>
                </c:pt>
                <c:pt idx="177">
                  <c:v>0.02</c:v>
                </c:pt>
                <c:pt idx="178">
                  <c:v>0.02</c:v>
                </c:pt>
                <c:pt idx="179">
                  <c:v>0.02</c:v>
                </c:pt>
                <c:pt idx="180">
                  <c:v>0.02</c:v>
                </c:pt>
                <c:pt idx="181">
                  <c:v>0.02</c:v>
                </c:pt>
                <c:pt idx="182">
                  <c:v>0.02</c:v>
                </c:pt>
                <c:pt idx="183">
                  <c:v>0.02</c:v>
                </c:pt>
                <c:pt idx="184">
                  <c:v>0.02</c:v>
                </c:pt>
                <c:pt idx="185">
                  <c:v>0.02</c:v>
                </c:pt>
                <c:pt idx="186">
                  <c:v>0.02</c:v>
                </c:pt>
                <c:pt idx="187">
                  <c:v>0.02</c:v>
                </c:pt>
                <c:pt idx="188">
                  <c:v>0.02</c:v>
                </c:pt>
                <c:pt idx="189">
                  <c:v>0.02</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ser>
        <c:ser>
          <c:idx val="4"/>
          <c:order val="6"/>
          <c:tx>
            <c:v>0.2 Percent Annual Chance</c:v>
          </c:tx>
          <c:spPr>
            <a:ln>
              <a:solidFill>
                <a:schemeClr val="accent2"/>
              </a:solidFill>
            </a:ln>
          </c:spPr>
          <c:marker>
            <c:symbol val="none"/>
          </c:marker>
          <c:xVal>
            <c:numRef>
              <c:f>Precip!$A$3:$A$243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Precip!$F$3:$F$243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0.01</c:v>
                </c:pt>
                <c:pt idx="70">
                  <c:v>0.01</c:v>
                </c:pt>
                <c:pt idx="71">
                  <c:v>0.01</c:v>
                </c:pt>
                <c:pt idx="72">
                  <c:v>0.01</c:v>
                </c:pt>
                <c:pt idx="73">
                  <c:v>0.01</c:v>
                </c:pt>
                <c:pt idx="74">
                  <c:v>0.01</c:v>
                </c:pt>
                <c:pt idx="75">
                  <c:v>0.01</c:v>
                </c:pt>
                <c:pt idx="76">
                  <c:v>0.01</c:v>
                </c:pt>
                <c:pt idx="77">
                  <c:v>0.01</c:v>
                </c:pt>
                <c:pt idx="78">
                  <c:v>0.01</c:v>
                </c:pt>
                <c:pt idx="79">
                  <c:v>0.01</c:v>
                </c:pt>
                <c:pt idx="80">
                  <c:v>0.01</c:v>
                </c:pt>
                <c:pt idx="81">
                  <c:v>0.01</c:v>
                </c:pt>
                <c:pt idx="82">
                  <c:v>0.01</c:v>
                </c:pt>
                <c:pt idx="83">
                  <c:v>0.01</c:v>
                </c:pt>
                <c:pt idx="84">
                  <c:v>0.01</c:v>
                </c:pt>
                <c:pt idx="85">
                  <c:v>0.01</c:v>
                </c:pt>
                <c:pt idx="86">
                  <c:v>0.01</c:v>
                </c:pt>
                <c:pt idx="87">
                  <c:v>0.01</c:v>
                </c:pt>
                <c:pt idx="88">
                  <c:v>0.02</c:v>
                </c:pt>
                <c:pt idx="89">
                  <c:v>0.02</c:v>
                </c:pt>
                <c:pt idx="90">
                  <c:v>0.02</c:v>
                </c:pt>
                <c:pt idx="91">
                  <c:v>0.02</c:v>
                </c:pt>
                <c:pt idx="92">
                  <c:v>0.02</c:v>
                </c:pt>
                <c:pt idx="93">
                  <c:v>0.02</c:v>
                </c:pt>
                <c:pt idx="94">
                  <c:v>0.02</c:v>
                </c:pt>
                <c:pt idx="95">
                  <c:v>0.03</c:v>
                </c:pt>
                <c:pt idx="96">
                  <c:v>0.03</c:v>
                </c:pt>
                <c:pt idx="97">
                  <c:v>0.03</c:v>
                </c:pt>
                <c:pt idx="98">
                  <c:v>0.03</c:v>
                </c:pt>
                <c:pt idx="99">
                  <c:v>0.03</c:v>
                </c:pt>
                <c:pt idx="100">
                  <c:v>0.03</c:v>
                </c:pt>
                <c:pt idx="101">
                  <c:v>0.03</c:v>
                </c:pt>
                <c:pt idx="102">
                  <c:v>0.04</c:v>
                </c:pt>
                <c:pt idx="103">
                  <c:v>0.04</c:v>
                </c:pt>
                <c:pt idx="104">
                  <c:v>0.04</c:v>
                </c:pt>
                <c:pt idx="105">
                  <c:v>0.04</c:v>
                </c:pt>
                <c:pt idx="106">
                  <c:v>0.06</c:v>
                </c:pt>
                <c:pt idx="107">
                  <c:v>0.06</c:v>
                </c:pt>
                <c:pt idx="108">
                  <c:v>0.06</c:v>
                </c:pt>
                <c:pt idx="109">
                  <c:v>7.0000000000000007E-2</c:v>
                </c:pt>
                <c:pt idx="110">
                  <c:v>7.0000000000000007E-2</c:v>
                </c:pt>
                <c:pt idx="111">
                  <c:v>0.09</c:v>
                </c:pt>
                <c:pt idx="112">
                  <c:v>0.1</c:v>
                </c:pt>
                <c:pt idx="113">
                  <c:v>0.1</c:v>
                </c:pt>
                <c:pt idx="114">
                  <c:v>0.11</c:v>
                </c:pt>
                <c:pt idx="115">
                  <c:v>0.12</c:v>
                </c:pt>
                <c:pt idx="116">
                  <c:v>0.15</c:v>
                </c:pt>
                <c:pt idx="117">
                  <c:v>0.17</c:v>
                </c:pt>
                <c:pt idx="118">
                  <c:v>0.19</c:v>
                </c:pt>
                <c:pt idx="119">
                  <c:v>0.16</c:v>
                </c:pt>
                <c:pt idx="120">
                  <c:v>0.42</c:v>
                </c:pt>
                <c:pt idx="121">
                  <c:v>0.65</c:v>
                </c:pt>
                <c:pt idx="122">
                  <c:v>0.27</c:v>
                </c:pt>
                <c:pt idx="123">
                  <c:v>0.15</c:v>
                </c:pt>
                <c:pt idx="124">
                  <c:v>0.2</c:v>
                </c:pt>
                <c:pt idx="125">
                  <c:v>0.19</c:v>
                </c:pt>
                <c:pt idx="126">
                  <c:v>0.16</c:v>
                </c:pt>
                <c:pt idx="127">
                  <c:v>0.14000000000000001</c:v>
                </c:pt>
                <c:pt idx="128">
                  <c:v>0.14000000000000001</c:v>
                </c:pt>
                <c:pt idx="129">
                  <c:v>0.13</c:v>
                </c:pt>
                <c:pt idx="130">
                  <c:v>0.12</c:v>
                </c:pt>
                <c:pt idx="131">
                  <c:v>0.1</c:v>
                </c:pt>
                <c:pt idx="132">
                  <c:v>0.1</c:v>
                </c:pt>
                <c:pt idx="133">
                  <c:v>0.09</c:v>
                </c:pt>
                <c:pt idx="134">
                  <c:v>0.09</c:v>
                </c:pt>
                <c:pt idx="135">
                  <c:v>0.09</c:v>
                </c:pt>
                <c:pt idx="136">
                  <c:v>7.0000000000000007E-2</c:v>
                </c:pt>
                <c:pt idx="137">
                  <c:v>0.06</c:v>
                </c:pt>
                <c:pt idx="138">
                  <c:v>0.06</c:v>
                </c:pt>
                <c:pt idx="139">
                  <c:v>0.06</c:v>
                </c:pt>
                <c:pt idx="140">
                  <c:v>0.06</c:v>
                </c:pt>
                <c:pt idx="141">
                  <c:v>0.06</c:v>
                </c:pt>
                <c:pt idx="142">
                  <c:v>0.06</c:v>
                </c:pt>
                <c:pt idx="143">
                  <c:v>0.05</c:v>
                </c:pt>
                <c:pt idx="144">
                  <c:v>0.05</c:v>
                </c:pt>
                <c:pt idx="145">
                  <c:v>0.05</c:v>
                </c:pt>
                <c:pt idx="146">
                  <c:v>0.05</c:v>
                </c:pt>
                <c:pt idx="147">
                  <c:v>0.05</c:v>
                </c:pt>
                <c:pt idx="148">
                  <c:v>0.05</c:v>
                </c:pt>
                <c:pt idx="149">
                  <c:v>0.05</c:v>
                </c:pt>
                <c:pt idx="150">
                  <c:v>0.05</c:v>
                </c:pt>
                <c:pt idx="151">
                  <c:v>0.04</c:v>
                </c:pt>
                <c:pt idx="152">
                  <c:v>0.04</c:v>
                </c:pt>
                <c:pt idx="153">
                  <c:v>0.04</c:v>
                </c:pt>
                <c:pt idx="154">
                  <c:v>0.04</c:v>
                </c:pt>
                <c:pt idx="155">
                  <c:v>0.04</c:v>
                </c:pt>
                <c:pt idx="156">
                  <c:v>0.03</c:v>
                </c:pt>
                <c:pt idx="157">
                  <c:v>0.03</c:v>
                </c:pt>
                <c:pt idx="158">
                  <c:v>0.03</c:v>
                </c:pt>
                <c:pt idx="159">
                  <c:v>0.03</c:v>
                </c:pt>
                <c:pt idx="160">
                  <c:v>0.03</c:v>
                </c:pt>
                <c:pt idx="161">
                  <c:v>0.03</c:v>
                </c:pt>
                <c:pt idx="162">
                  <c:v>0.03</c:v>
                </c:pt>
                <c:pt idx="163">
                  <c:v>0.03</c:v>
                </c:pt>
                <c:pt idx="164">
                  <c:v>0.03</c:v>
                </c:pt>
                <c:pt idx="165">
                  <c:v>0.03</c:v>
                </c:pt>
                <c:pt idx="166">
                  <c:v>0.03</c:v>
                </c:pt>
                <c:pt idx="167">
                  <c:v>0.03</c:v>
                </c:pt>
                <c:pt idx="168">
                  <c:v>0.03</c:v>
                </c:pt>
                <c:pt idx="169">
                  <c:v>0.03</c:v>
                </c:pt>
                <c:pt idx="170">
                  <c:v>0.03</c:v>
                </c:pt>
                <c:pt idx="171">
                  <c:v>0.03</c:v>
                </c:pt>
                <c:pt idx="172">
                  <c:v>0.03</c:v>
                </c:pt>
                <c:pt idx="173">
                  <c:v>0.03</c:v>
                </c:pt>
                <c:pt idx="174">
                  <c:v>0.03</c:v>
                </c:pt>
                <c:pt idx="175">
                  <c:v>0.03</c:v>
                </c:pt>
                <c:pt idx="176">
                  <c:v>0.03</c:v>
                </c:pt>
                <c:pt idx="177">
                  <c:v>0.03</c:v>
                </c:pt>
                <c:pt idx="178">
                  <c:v>0.03</c:v>
                </c:pt>
                <c:pt idx="179">
                  <c:v>0.02</c:v>
                </c:pt>
                <c:pt idx="180">
                  <c:v>0.02</c:v>
                </c:pt>
                <c:pt idx="181">
                  <c:v>0.02</c:v>
                </c:pt>
                <c:pt idx="182">
                  <c:v>0.02</c:v>
                </c:pt>
                <c:pt idx="183">
                  <c:v>0.02</c:v>
                </c:pt>
                <c:pt idx="184">
                  <c:v>0.02</c:v>
                </c:pt>
                <c:pt idx="185">
                  <c:v>0.02</c:v>
                </c:pt>
                <c:pt idx="186">
                  <c:v>0.02</c:v>
                </c:pt>
                <c:pt idx="187">
                  <c:v>0.02</c:v>
                </c:pt>
                <c:pt idx="188">
                  <c:v>0.02</c:v>
                </c:pt>
                <c:pt idx="189">
                  <c:v>0.02</c:v>
                </c:pt>
                <c:pt idx="190">
                  <c:v>0.02</c:v>
                </c:pt>
                <c:pt idx="191">
                  <c:v>0.02</c:v>
                </c:pt>
                <c:pt idx="192">
                  <c:v>0.02</c:v>
                </c:pt>
                <c:pt idx="193">
                  <c:v>0.02</c:v>
                </c:pt>
                <c:pt idx="194">
                  <c:v>0.02</c:v>
                </c:pt>
                <c:pt idx="195">
                  <c:v>0.02</c:v>
                </c:pt>
                <c:pt idx="196">
                  <c:v>0.02</c:v>
                </c:pt>
                <c:pt idx="197">
                  <c:v>0.02</c:v>
                </c:pt>
                <c:pt idx="198">
                  <c:v>0.02</c:v>
                </c:pt>
                <c:pt idx="199">
                  <c:v>0.02</c:v>
                </c:pt>
                <c:pt idx="200">
                  <c:v>0.02</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0-023E-4C89-B2BA-AFA834A25DAC}"/>
            </c:ext>
          </c:extLst>
        </c:ser>
        <c:dLbls>
          <c:showLegendKey val="0"/>
          <c:showVal val="0"/>
          <c:showCatName val="0"/>
          <c:showSerName val="0"/>
          <c:showPercent val="0"/>
          <c:showBubbleSize val="0"/>
        </c:dLbls>
        <c:axId val="116680576"/>
        <c:axId val="116690944"/>
      </c:scatterChart>
      <c:valAx>
        <c:axId val="116680576"/>
        <c:scaling>
          <c:orientation val="minMax"/>
          <c:max val="1"/>
        </c:scaling>
        <c:delete val="0"/>
        <c:axPos val="b"/>
        <c:title>
          <c:tx>
            <c:rich>
              <a:bodyPr/>
              <a:lstStyle/>
              <a:p>
                <a:pPr>
                  <a:defRPr/>
                </a:pPr>
                <a:r>
                  <a:rPr lang="en-US"/>
                  <a:t>Time (hours)</a:t>
                </a:r>
              </a:p>
            </c:rich>
          </c:tx>
          <c:layout/>
          <c:overlay val="0"/>
        </c:title>
        <c:numFmt formatCode="h:mm;@" sourceLinked="0"/>
        <c:majorTickMark val="out"/>
        <c:minorTickMark val="none"/>
        <c:tickLblPos val="nextTo"/>
        <c:crossAx val="116690944"/>
        <c:crosses val="autoZero"/>
        <c:crossBetween val="midCat"/>
        <c:majorUnit val="0.1"/>
        <c:minorUnit val="2.0000000000000004E-2"/>
      </c:valAx>
      <c:valAx>
        <c:axId val="116690944"/>
        <c:scaling>
          <c:orientation val="minMax"/>
        </c:scaling>
        <c:delete val="0"/>
        <c:axPos val="l"/>
        <c:majorGridlines/>
        <c:title>
          <c:tx>
            <c:rich>
              <a:bodyPr rot="-5400000" vert="horz"/>
              <a:lstStyle/>
              <a:p>
                <a:pPr>
                  <a:defRPr/>
                </a:pPr>
                <a:r>
                  <a:rPr lang="en-US"/>
                  <a:t>Incremental Precipitation</a:t>
                </a:r>
                <a:r>
                  <a:rPr lang="en-US" baseline="0"/>
                  <a:t> (in)</a:t>
                </a:r>
                <a:endParaRPr lang="en-US"/>
              </a:p>
            </c:rich>
          </c:tx>
          <c:layout>
            <c:manualLayout>
              <c:xMode val="edge"/>
              <c:yMode val="edge"/>
              <c:x val="1.0469011725293133E-2"/>
              <c:y val="0.28479270523922046"/>
            </c:manualLayout>
          </c:layout>
          <c:overlay val="0"/>
        </c:title>
        <c:numFmt formatCode="#,##0.00" sourceLinked="0"/>
        <c:majorTickMark val="out"/>
        <c:minorTickMark val="none"/>
        <c:tickLblPos val="nextTo"/>
        <c:crossAx val="116680576"/>
        <c:crosses val="autoZero"/>
        <c:crossBetween val="midCat"/>
      </c:valAx>
      <c:spPr>
        <a:ln>
          <a:solidFill>
            <a:schemeClr val="tx1"/>
          </a:solidFill>
        </a:ln>
      </c:spPr>
    </c:plotArea>
    <c:legend>
      <c:legendPos val="r"/>
      <c:layout>
        <c:manualLayout>
          <c:xMode val="edge"/>
          <c:yMode val="edge"/>
          <c:x val="0.58825578000367318"/>
          <c:y val="4.292182227221597E-2"/>
          <c:w val="0.36451269007051085"/>
          <c:h val="0.46033652043494561"/>
        </c:manualLayout>
      </c:layout>
      <c:overlay val="1"/>
      <c:spPr>
        <a:solidFill>
          <a:schemeClr val="bg1"/>
        </a:solidFill>
        <a:ln>
          <a:solidFill>
            <a:schemeClr val="tx1"/>
          </a:solidFill>
        </a:ln>
      </c:spPr>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v>10 Percent Annual Chance</c:v>
          </c:tx>
          <c:marker>
            <c:symbol val="none"/>
          </c:marker>
          <c:val>
            <c:numRef>
              <c:f>Hydrograph!$B$3:$B$75</c:f>
              <c:numCache>
                <c:formatCode>General</c:formatCode>
                <c:ptCount val="73"/>
                <c:pt idx="0">
                  <c:v>590.05999999999995</c:v>
                </c:pt>
                <c:pt idx="1">
                  <c:v>590.05999999999995</c:v>
                </c:pt>
                <c:pt idx="2">
                  <c:v>590.05999999999995</c:v>
                </c:pt>
                <c:pt idx="3">
                  <c:v>590.05999999999995</c:v>
                </c:pt>
                <c:pt idx="4">
                  <c:v>590.05999999999995</c:v>
                </c:pt>
                <c:pt idx="5">
                  <c:v>590.05999999999995</c:v>
                </c:pt>
                <c:pt idx="6">
                  <c:v>590.05999999999995</c:v>
                </c:pt>
                <c:pt idx="7">
                  <c:v>590.05999999999995</c:v>
                </c:pt>
                <c:pt idx="8">
                  <c:v>590.05999999999995</c:v>
                </c:pt>
                <c:pt idx="9">
                  <c:v>590.05999999999995</c:v>
                </c:pt>
                <c:pt idx="10">
                  <c:v>590.05999999999995</c:v>
                </c:pt>
                <c:pt idx="11">
                  <c:v>590.05999999999995</c:v>
                </c:pt>
                <c:pt idx="12">
                  <c:v>590.08000000000004</c:v>
                </c:pt>
                <c:pt idx="13">
                  <c:v>590.19000000000005</c:v>
                </c:pt>
                <c:pt idx="14">
                  <c:v>590.86</c:v>
                </c:pt>
                <c:pt idx="15">
                  <c:v>593.99</c:v>
                </c:pt>
                <c:pt idx="16">
                  <c:v>598.39</c:v>
                </c:pt>
                <c:pt idx="17">
                  <c:v>604</c:v>
                </c:pt>
                <c:pt idx="18">
                  <c:v>608.58000000000004</c:v>
                </c:pt>
                <c:pt idx="19">
                  <c:v>612.24</c:v>
                </c:pt>
                <c:pt idx="20">
                  <c:v>614.6</c:v>
                </c:pt>
                <c:pt idx="21">
                  <c:v>616.17999999999995</c:v>
                </c:pt>
                <c:pt idx="22">
                  <c:v>617.41999999999996</c:v>
                </c:pt>
                <c:pt idx="23">
                  <c:v>618.42999999999995</c:v>
                </c:pt>
                <c:pt idx="24">
                  <c:v>619.12</c:v>
                </c:pt>
                <c:pt idx="25">
                  <c:v>619.48</c:v>
                </c:pt>
                <c:pt idx="26">
                  <c:v>619.54999999999995</c:v>
                </c:pt>
                <c:pt idx="27">
                  <c:v>619.41999999999996</c:v>
                </c:pt>
                <c:pt idx="28">
                  <c:v>619.17999999999995</c:v>
                </c:pt>
                <c:pt idx="29">
                  <c:v>618.88</c:v>
                </c:pt>
                <c:pt idx="30">
                  <c:v>618.52</c:v>
                </c:pt>
                <c:pt idx="31">
                  <c:v>618.08000000000004</c:v>
                </c:pt>
                <c:pt idx="32">
                  <c:v>617.54999999999995</c:v>
                </c:pt>
                <c:pt idx="33">
                  <c:v>616.98</c:v>
                </c:pt>
                <c:pt idx="34">
                  <c:v>616.41</c:v>
                </c:pt>
                <c:pt idx="35">
                  <c:v>615.82000000000005</c:v>
                </c:pt>
                <c:pt idx="36">
                  <c:v>615.16999999999996</c:v>
                </c:pt>
                <c:pt idx="37">
                  <c:v>614.4</c:v>
                </c:pt>
                <c:pt idx="38">
                  <c:v>613.46</c:v>
                </c:pt>
                <c:pt idx="39">
                  <c:v>612.4</c:v>
                </c:pt>
                <c:pt idx="40">
                  <c:v>611.32000000000005</c:v>
                </c:pt>
                <c:pt idx="41">
                  <c:v>610.24</c:v>
                </c:pt>
                <c:pt idx="42">
                  <c:v>609.26</c:v>
                </c:pt>
                <c:pt idx="43">
                  <c:v>608.35</c:v>
                </c:pt>
                <c:pt idx="44">
                  <c:v>607.48</c:v>
                </c:pt>
                <c:pt idx="45">
                  <c:v>606.66</c:v>
                </c:pt>
                <c:pt idx="46">
                  <c:v>605.91999999999996</c:v>
                </c:pt>
                <c:pt idx="47">
                  <c:v>605.24</c:v>
                </c:pt>
                <c:pt idx="48">
                  <c:v>604.62</c:v>
                </c:pt>
                <c:pt idx="49">
                  <c:v>604.03</c:v>
                </c:pt>
                <c:pt idx="50">
                  <c:v>603.46</c:v>
                </c:pt>
                <c:pt idx="51">
                  <c:v>602.95000000000005</c:v>
                </c:pt>
                <c:pt idx="52">
                  <c:v>602.46</c:v>
                </c:pt>
                <c:pt idx="53">
                  <c:v>602.01</c:v>
                </c:pt>
                <c:pt idx="54">
                  <c:v>601.59</c:v>
                </c:pt>
                <c:pt idx="55">
                  <c:v>601.16</c:v>
                </c:pt>
                <c:pt idx="56">
                  <c:v>600.74</c:v>
                </c:pt>
                <c:pt idx="57">
                  <c:v>600.35</c:v>
                </c:pt>
                <c:pt idx="58">
                  <c:v>600</c:v>
                </c:pt>
                <c:pt idx="59">
                  <c:v>599.66</c:v>
                </c:pt>
                <c:pt idx="60">
                  <c:v>599.34</c:v>
                </c:pt>
                <c:pt idx="61">
                  <c:v>599.03</c:v>
                </c:pt>
                <c:pt idx="62">
                  <c:v>598.73</c:v>
                </c:pt>
                <c:pt idx="63">
                  <c:v>598.44000000000005</c:v>
                </c:pt>
                <c:pt idx="64">
                  <c:v>598.20000000000005</c:v>
                </c:pt>
                <c:pt idx="65">
                  <c:v>597.95000000000005</c:v>
                </c:pt>
                <c:pt idx="66">
                  <c:v>597.69000000000005</c:v>
                </c:pt>
                <c:pt idx="67">
                  <c:v>597.44000000000005</c:v>
                </c:pt>
                <c:pt idx="68">
                  <c:v>597.22</c:v>
                </c:pt>
                <c:pt idx="69">
                  <c:v>597.02</c:v>
                </c:pt>
                <c:pt idx="70">
                  <c:v>596.80999999999995</c:v>
                </c:pt>
                <c:pt idx="71">
                  <c:v>596.62</c:v>
                </c:pt>
                <c:pt idx="72">
                  <c:v>596.44000000000005</c:v>
                </c:pt>
              </c:numCache>
            </c:numRef>
          </c:val>
          <c:smooth val="0"/>
          <c:extLst xmlns:c16r2="http://schemas.microsoft.com/office/drawing/2015/06/chart">
            <c:ext xmlns:c16="http://schemas.microsoft.com/office/drawing/2014/chart" uri="{C3380CC4-5D6E-409C-BE32-E72D297353CC}">
              <c16:uniqueId val="{00000000-4E82-45C5-BEED-FF320CDCACFC}"/>
            </c:ext>
          </c:extLst>
        </c:ser>
        <c:ser>
          <c:idx val="1"/>
          <c:order val="1"/>
          <c:tx>
            <c:v>4 Percent Annual Chance</c:v>
          </c:tx>
          <c:marker>
            <c:symbol val="none"/>
          </c:marker>
          <c:cat>
            <c:numRef>
              <c:f>Hydrograph!$A$3:$A$75</c:f>
              <c:numCache>
                <c:formatCode>0.00</c:formatCode>
                <c:ptCount val="73"/>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numCache>
            </c:numRef>
          </c:cat>
          <c:val>
            <c:numRef>
              <c:f>Hydrograph!$C$3:$C$75</c:f>
              <c:numCache>
                <c:formatCode>General</c:formatCode>
                <c:ptCount val="73"/>
                <c:pt idx="0">
                  <c:v>590.05999999999995</c:v>
                </c:pt>
                <c:pt idx="1">
                  <c:v>590.05999999999995</c:v>
                </c:pt>
                <c:pt idx="2">
                  <c:v>590.05999999999995</c:v>
                </c:pt>
                <c:pt idx="3">
                  <c:v>590.05999999999995</c:v>
                </c:pt>
                <c:pt idx="4">
                  <c:v>590.05999999999995</c:v>
                </c:pt>
                <c:pt idx="5">
                  <c:v>590.05999999999995</c:v>
                </c:pt>
                <c:pt idx="6">
                  <c:v>590.05999999999995</c:v>
                </c:pt>
                <c:pt idx="7">
                  <c:v>590.05999999999995</c:v>
                </c:pt>
                <c:pt idx="8">
                  <c:v>590.05999999999995</c:v>
                </c:pt>
                <c:pt idx="9">
                  <c:v>590.05999999999995</c:v>
                </c:pt>
                <c:pt idx="10">
                  <c:v>590.07000000000005</c:v>
                </c:pt>
                <c:pt idx="11">
                  <c:v>590.11</c:v>
                </c:pt>
                <c:pt idx="12">
                  <c:v>590.29999999999995</c:v>
                </c:pt>
                <c:pt idx="13">
                  <c:v>592.51</c:v>
                </c:pt>
                <c:pt idx="14">
                  <c:v>598.64</c:v>
                </c:pt>
                <c:pt idx="15">
                  <c:v>605.9</c:v>
                </c:pt>
                <c:pt idx="16">
                  <c:v>610.74</c:v>
                </c:pt>
                <c:pt idx="17">
                  <c:v>614.53</c:v>
                </c:pt>
                <c:pt idx="18">
                  <c:v>617.14</c:v>
                </c:pt>
                <c:pt idx="19">
                  <c:v>619.44000000000005</c:v>
                </c:pt>
                <c:pt idx="20">
                  <c:v>621.46</c:v>
                </c:pt>
                <c:pt idx="21">
                  <c:v>623.16999999999996</c:v>
                </c:pt>
                <c:pt idx="22">
                  <c:v>624.30999999999995</c:v>
                </c:pt>
                <c:pt idx="23">
                  <c:v>624.79</c:v>
                </c:pt>
                <c:pt idx="24">
                  <c:v>624.80999999999995</c:v>
                </c:pt>
                <c:pt idx="25">
                  <c:v>624.52</c:v>
                </c:pt>
                <c:pt idx="26">
                  <c:v>624.09</c:v>
                </c:pt>
                <c:pt idx="27">
                  <c:v>623.63</c:v>
                </c:pt>
                <c:pt idx="28">
                  <c:v>623.16</c:v>
                </c:pt>
                <c:pt idx="29">
                  <c:v>622.69000000000005</c:v>
                </c:pt>
                <c:pt idx="30">
                  <c:v>622.21</c:v>
                </c:pt>
                <c:pt idx="31">
                  <c:v>621.69000000000005</c:v>
                </c:pt>
                <c:pt idx="32">
                  <c:v>621.13</c:v>
                </c:pt>
                <c:pt idx="33">
                  <c:v>620.53</c:v>
                </c:pt>
                <c:pt idx="34">
                  <c:v>619.91</c:v>
                </c:pt>
                <c:pt idx="35">
                  <c:v>619.29</c:v>
                </c:pt>
                <c:pt idx="36">
                  <c:v>618.64</c:v>
                </c:pt>
                <c:pt idx="37">
                  <c:v>617.85</c:v>
                </c:pt>
                <c:pt idx="38">
                  <c:v>616.66</c:v>
                </c:pt>
                <c:pt idx="39">
                  <c:v>615.02</c:v>
                </c:pt>
                <c:pt idx="40">
                  <c:v>613.20000000000005</c:v>
                </c:pt>
                <c:pt idx="41">
                  <c:v>611.58000000000004</c:v>
                </c:pt>
                <c:pt idx="42">
                  <c:v>610.16</c:v>
                </c:pt>
                <c:pt idx="43">
                  <c:v>609</c:v>
                </c:pt>
                <c:pt idx="44">
                  <c:v>607.98</c:v>
                </c:pt>
                <c:pt idx="45">
                  <c:v>607.04</c:v>
                </c:pt>
                <c:pt idx="46">
                  <c:v>606.19000000000005</c:v>
                </c:pt>
                <c:pt idx="47">
                  <c:v>605.41999999999996</c:v>
                </c:pt>
                <c:pt idx="48">
                  <c:v>604.72</c:v>
                </c:pt>
                <c:pt idx="49">
                  <c:v>604.07000000000005</c:v>
                </c:pt>
                <c:pt idx="50">
                  <c:v>603.49</c:v>
                </c:pt>
                <c:pt idx="51">
                  <c:v>602.94000000000005</c:v>
                </c:pt>
                <c:pt idx="52">
                  <c:v>602.46</c:v>
                </c:pt>
                <c:pt idx="53">
                  <c:v>602</c:v>
                </c:pt>
                <c:pt idx="54">
                  <c:v>601.58000000000004</c:v>
                </c:pt>
                <c:pt idx="55">
                  <c:v>601.14</c:v>
                </c:pt>
                <c:pt idx="56">
                  <c:v>600.72</c:v>
                </c:pt>
                <c:pt idx="57">
                  <c:v>600.32000000000005</c:v>
                </c:pt>
                <c:pt idx="58">
                  <c:v>599.94000000000005</c:v>
                </c:pt>
                <c:pt idx="59">
                  <c:v>599.6</c:v>
                </c:pt>
                <c:pt idx="60">
                  <c:v>599.28</c:v>
                </c:pt>
                <c:pt idx="61">
                  <c:v>598.97</c:v>
                </c:pt>
                <c:pt idx="62">
                  <c:v>598.66999999999996</c:v>
                </c:pt>
                <c:pt idx="63">
                  <c:v>598.38</c:v>
                </c:pt>
                <c:pt idx="64">
                  <c:v>598.12</c:v>
                </c:pt>
                <c:pt idx="65">
                  <c:v>597.88</c:v>
                </c:pt>
                <c:pt idx="66">
                  <c:v>597.64</c:v>
                </c:pt>
                <c:pt idx="67">
                  <c:v>597.4</c:v>
                </c:pt>
                <c:pt idx="68">
                  <c:v>597.17999999999995</c:v>
                </c:pt>
                <c:pt idx="69">
                  <c:v>596.96</c:v>
                </c:pt>
                <c:pt idx="70">
                  <c:v>596.79</c:v>
                </c:pt>
                <c:pt idx="71">
                  <c:v>596.59</c:v>
                </c:pt>
                <c:pt idx="72">
                  <c:v>596.4</c:v>
                </c:pt>
              </c:numCache>
            </c:numRef>
          </c:val>
          <c:smooth val="0"/>
          <c:extLst xmlns:c16r2="http://schemas.microsoft.com/office/drawing/2015/06/chart">
            <c:ext xmlns:c16="http://schemas.microsoft.com/office/drawing/2014/chart" uri="{C3380CC4-5D6E-409C-BE32-E72D297353CC}">
              <c16:uniqueId val="{00000001-4E82-45C5-BEED-FF320CDCACFC}"/>
            </c:ext>
          </c:extLst>
        </c:ser>
        <c:ser>
          <c:idx val="2"/>
          <c:order val="2"/>
          <c:tx>
            <c:v>2 Percent Annual Chance</c:v>
          </c:tx>
          <c:marker>
            <c:symbol val="none"/>
          </c:marker>
          <c:cat>
            <c:numRef>
              <c:f>Hydrograph!$A$3:$A$75</c:f>
              <c:numCache>
                <c:formatCode>0.00</c:formatCode>
                <c:ptCount val="73"/>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numCache>
            </c:numRef>
          </c:cat>
          <c:val>
            <c:numRef>
              <c:f>Hydrograph!$D$3:$D$75</c:f>
              <c:numCache>
                <c:formatCode>General</c:formatCode>
                <c:ptCount val="73"/>
                <c:pt idx="0">
                  <c:v>590.05999999999995</c:v>
                </c:pt>
                <c:pt idx="1">
                  <c:v>590.05999999999995</c:v>
                </c:pt>
                <c:pt idx="2">
                  <c:v>590.05999999999995</c:v>
                </c:pt>
                <c:pt idx="3">
                  <c:v>590.05999999999995</c:v>
                </c:pt>
                <c:pt idx="4">
                  <c:v>590.05999999999995</c:v>
                </c:pt>
                <c:pt idx="5">
                  <c:v>590.05999999999995</c:v>
                </c:pt>
                <c:pt idx="6">
                  <c:v>590.05999999999995</c:v>
                </c:pt>
                <c:pt idx="7">
                  <c:v>590.05999999999995</c:v>
                </c:pt>
                <c:pt idx="8">
                  <c:v>590.05999999999995</c:v>
                </c:pt>
                <c:pt idx="9">
                  <c:v>590.07000000000005</c:v>
                </c:pt>
                <c:pt idx="10">
                  <c:v>590.09</c:v>
                </c:pt>
                <c:pt idx="11">
                  <c:v>590.14</c:v>
                </c:pt>
                <c:pt idx="12">
                  <c:v>590.46</c:v>
                </c:pt>
                <c:pt idx="13">
                  <c:v>594.83000000000004</c:v>
                </c:pt>
                <c:pt idx="14">
                  <c:v>602.94000000000005</c:v>
                </c:pt>
                <c:pt idx="15">
                  <c:v>609.6</c:v>
                </c:pt>
                <c:pt idx="16">
                  <c:v>614.12</c:v>
                </c:pt>
                <c:pt idx="17">
                  <c:v>617.38</c:v>
                </c:pt>
                <c:pt idx="18">
                  <c:v>620.71</c:v>
                </c:pt>
                <c:pt idx="19">
                  <c:v>623.73</c:v>
                </c:pt>
                <c:pt idx="20">
                  <c:v>626.12</c:v>
                </c:pt>
                <c:pt idx="21">
                  <c:v>627.75</c:v>
                </c:pt>
                <c:pt idx="22">
                  <c:v>628.55999999999995</c:v>
                </c:pt>
                <c:pt idx="23">
                  <c:v>628.67999999999995</c:v>
                </c:pt>
                <c:pt idx="24">
                  <c:v>628.33000000000004</c:v>
                </c:pt>
                <c:pt idx="25">
                  <c:v>627.78</c:v>
                </c:pt>
                <c:pt idx="26">
                  <c:v>627.16999999999996</c:v>
                </c:pt>
                <c:pt idx="27">
                  <c:v>626.57000000000005</c:v>
                </c:pt>
                <c:pt idx="28">
                  <c:v>626</c:v>
                </c:pt>
                <c:pt idx="29">
                  <c:v>625.45000000000005</c:v>
                </c:pt>
                <c:pt idx="30">
                  <c:v>624.89</c:v>
                </c:pt>
                <c:pt idx="31">
                  <c:v>624.30999999999995</c:v>
                </c:pt>
                <c:pt idx="32">
                  <c:v>623.72</c:v>
                </c:pt>
                <c:pt idx="33">
                  <c:v>623.14</c:v>
                </c:pt>
                <c:pt idx="34">
                  <c:v>622.57000000000005</c:v>
                </c:pt>
                <c:pt idx="35">
                  <c:v>622.02</c:v>
                </c:pt>
                <c:pt idx="36">
                  <c:v>621.47</c:v>
                </c:pt>
                <c:pt idx="37">
                  <c:v>620.86</c:v>
                </c:pt>
                <c:pt idx="38">
                  <c:v>620.02</c:v>
                </c:pt>
                <c:pt idx="39">
                  <c:v>618.52</c:v>
                </c:pt>
                <c:pt idx="40">
                  <c:v>616.4</c:v>
                </c:pt>
                <c:pt idx="41">
                  <c:v>614.15</c:v>
                </c:pt>
                <c:pt idx="42">
                  <c:v>612.12</c:v>
                </c:pt>
                <c:pt idx="43">
                  <c:v>610.45000000000005</c:v>
                </c:pt>
                <c:pt idx="44">
                  <c:v>609.1</c:v>
                </c:pt>
                <c:pt idx="45">
                  <c:v>607.99</c:v>
                </c:pt>
                <c:pt idx="46">
                  <c:v>606.99</c:v>
                </c:pt>
                <c:pt idx="47">
                  <c:v>606.09</c:v>
                </c:pt>
                <c:pt idx="48">
                  <c:v>605.29999999999995</c:v>
                </c:pt>
                <c:pt idx="49">
                  <c:v>604.55999999999995</c:v>
                </c:pt>
                <c:pt idx="50">
                  <c:v>603.91</c:v>
                </c:pt>
                <c:pt idx="51">
                  <c:v>603.30999999999995</c:v>
                </c:pt>
                <c:pt idx="52">
                  <c:v>602.76</c:v>
                </c:pt>
                <c:pt idx="53">
                  <c:v>602.26</c:v>
                </c:pt>
                <c:pt idx="54">
                  <c:v>601.82000000000005</c:v>
                </c:pt>
                <c:pt idx="55">
                  <c:v>601.4</c:v>
                </c:pt>
                <c:pt idx="56">
                  <c:v>600.96</c:v>
                </c:pt>
                <c:pt idx="57">
                  <c:v>600.54999999999995</c:v>
                </c:pt>
                <c:pt idx="58">
                  <c:v>600.17999999999995</c:v>
                </c:pt>
                <c:pt idx="59">
                  <c:v>599.80999999999995</c:v>
                </c:pt>
                <c:pt idx="60">
                  <c:v>599.47</c:v>
                </c:pt>
                <c:pt idx="61">
                  <c:v>599.14</c:v>
                </c:pt>
                <c:pt idx="62">
                  <c:v>598.83000000000004</c:v>
                </c:pt>
                <c:pt idx="63">
                  <c:v>598.53</c:v>
                </c:pt>
                <c:pt idx="64">
                  <c:v>598.25</c:v>
                </c:pt>
                <c:pt idx="65">
                  <c:v>597.99</c:v>
                </c:pt>
                <c:pt idx="66">
                  <c:v>597.74</c:v>
                </c:pt>
                <c:pt idx="67">
                  <c:v>597.5</c:v>
                </c:pt>
                <c:pt idx="68">
                  <c:v>597.28</c:v>
                </c:pt>
                <c:pt idx="69">
                  <c:v>597.07000000000005</c:v>
                </c:pt>
                <c:pt idx="70">
                  <c:v>596.86</c:v>
                </c:pt>
                <c:pt idx="71">
                  <c:v>596.65</c:v>
                </c:pt>
                <c:pt idx="72">
                  <c:v>596.46</c:v>
                </c:pt>
              </c:numCache>
            </c:numRef>
          </c:val>
          <c:smooth val="0"/>
          <c:extLst xmlns:c16r2="http://schemas.microsoft.com/office/drawing/2015/06/chart">
            <c:ext xmlns:c16="http://schemas.microsoft.com/office/drawing/2014/chart" uri="{C3380CC4-5D6E-409C-BE32-E72D297353CC}">
              <c16:uniqueId val="{00000002-4E82-45C5-BEED-FF320CDCACFC}"/>
            </c:ext>
          </c:extLst>
        </c:ser>
        <c:ser>
          <c:idx val="3"/>
          <c:order val="3"/>
          <c:tx>
            <c:v>1 Percent Annual Chance</c:v>
          </c:tx>
          <c:marker>
            <c:symbol val="none"/>
          </c:marker>
          <c:cat>
            <c:numRef>
              <c:f>Hydrograph!$A$3:$A$75</c:f>
              <c:numCache>
                <c:formatCode>0.00</c:formatCode>
                <c:ptCount val="73"/>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numCache>
            </c:numRef>
          </c:cat>
          <c:val>
            <c:numRef>
              <c:f>Hydrograph!$E$3:$E$75</c:f>
              <c:numCache>
                <c:formatCode>General</c:formatCode>
                <c:ptCount val="73"/>
                <c:pt idx="0">
                  <c:v>590.05999999999995</c:v>
                </c:pt>
                <c:pt idx="1">
                  <c:v>590.05999999999995</c:v>
                </c:pt>
                <c:pt idx="2">
                  <c:v>590.05999999999995</c:v>
                </c:pt>
                <c:pt idx="3">
                  <c:v>590.05999999999995</c:v>
                </c:pt>
                <c:pt idx="4">
                  <c:v>590.05999999999995</c:v>
                </c:pt>
                <c:pt idx="5">
                  <c:v>590.05999999999995</c:v>
                </c:pt>
                <c:pt idx="6">
                  <c:v>590.05999999999995</c:v>
                </c:pt>
                <c:pt idx="7">
                  <c:v>590.05999999999995</c:v>
                </c:pt>
                <c:pt idx="8">
                  <c:v>590.05999999999995</c:v>
                </c:pt>
                <c:pt idx="9">
                  <c:v>590.08000000000004</c:v>
                </c:pt>
                <c:pt idx="10">
                  <c:v>590.11</c:v>
                </c:pt>
                <c:pt idx="11">
                  <c:v>590.19000000000005</c:v>
                </c:pt>
                <c:pt idx="12">
                  <c:v>590.76</c:v>
                </c:pt>
                <c:pt idx="13">
                  <c:v>597.91999999999996</c:v>
                </c:pt>
                <c:pt idx="14">
                  <c:v>607.38</c:v>
                </c:pt>
                <c:pt idx="15">
                  <c:v>612.9</c:v>
                </c:pt>
                <c:pt idx="16">
                  <c:v>616.71</c:v>
                </c:pt>
                <c:pt idx="17">
                  <c:v>620.97</c:v>
                </c:pt>
                <c:pt idx="18">
                  <c:v>625.26</c:v>
                </c:pt>
                <c:pt idx="19">
                  <c:v>628.51</c:v>
                </c:pt>
                <c:pt idx="20">
                  <c:v>630.79999999999995</c:v>
                </c:pt>
                <c:pt idx="21">
                  <c:v>632.14</c:v>
                </c:pt>
                <c:pt idx="22">
                  <c:v>632.61</c:v>
                </c:pt>
                <c:pt idx="23">
                  <c:v>632.4</c:v>
                </c:pt>
                <c:pt idx="24">
                  <c:v>631.79999999999995</c:v>
                </c:pt>
                <c:pt idx="25">
                  <c:v>631.05999999999995</c:v>
                </c:pt>
                <c:pt idx="26">
                  <c:v>630.32000000000005</c:v>
                </c:pt>
                <c:pt idx="27">
                  <c:v>629.64</c:v>
                </c:pt>
                <c:pt idx="28">
                  <c:v>629</c:v>
                </c:pt>
                <c:pt idx="29">
                  <c:v>628.38</c:v>
                </c:pt>
                <c:pt idx="30">
                  <c:v>627.77</c:v>
                </c:pt>
                <c:pt idx="31">
                  <c:v>627.16999999999996</c:v>
                </c:pt>
                <c:pt idx="32">
                  <c:v>626.59</c:v>
                </c:pt>
                <c:pt idx="33">
                  <c:v>626.03</c:v>
                </c:pt>
                <c:pt idx="34">
                  <c:v>625.48</c:v>
                </c:pt>
                <c:pt idx="35">
                  <c:v>624.91999999999996</c:v>
                </c:pt>
                <c:pt idx="36">
                  <c:v>624.32000000000005</c:v>
                </c:pt>
                <c:pt idx="37">
                  <c:v>623.62</c:v>
                </c:pt>
                <c:pt idx="38">
                  <c:v>622.77</c:v>
                </c:pt>
                <c:pt idx="39">
                  <c:v>621.59</c:v>
                </c:pt>
                <c:pt idx="40">
                  <c:v>619.58000000000004</c:v>
                </c:pt>
                <c:pt idx="41">
                  <c:v>617.03</c:v>
                </c:pt>
                <c:pt idx="42">
                  <c:v>614.52</c:v>
                </c:pt>
                <c:pt idx="43">
                  <c:v>612.26</c:v>
                </c:pt>
                <c:pt idx="44">
                  <c:v>610.44000000000005</c:v>
                </c:pt>
                <c:pt idx="45">
                  <c:v>608.99</c:v>
                </c:pt>
                <c:pt idx="46">
                  <c:v>607.82000000000005</c:v>
                </c:pt>
                <c:pt idx="47">
                  <c:v>606.77</c:v>
                </c:pt>
                <c:pt idx="48">
                  <c:v>605.85</c:v>
                </c:pt>
                <c:pt idx="49">
                  <c:v>605.04</c:v>
                </c:pt>
                <c:pt idx="50">
                  <c:v>604.29</c:v>
                </c:pt>
                <c:pt idx="51">
                  <c:v>603.66</c:v>
                </c:pt>
                <c:pt idx="52">
                  <c:v>603.09</c:v>
                </c:pt>
                <c:pt idx="53">
                  <c:v>602.54999999999995</c:v>
                </c:pt>
                <c:pt idx="54">
                  <c:v>602.05999999999995</c:v>
                </c:pt>
                <c:pt idx="55">
                  <c:v>601.62</c:v>
                </c:pt>
                <c:pt idx="56">
                  <c:v>601.19000000000005</c:v>
                </c:pt>
                <c:pt idx="57">
                  <c:v>600.75</c:v>
                </c:pt>
                <c:pt idx="58">
                  <c:v>600.33000000000004</c:v>
                </c:pt>
                <c:pt idx="59">
                  <c:v>599.96</c:v>
                </c:pt>
                <c:pt idx="60">
                  <c:v>599.61</c:v>
                </c:pt>
                <c:pt idx="61">
                  <c:v>599.28</c:v>
                </c:pt>
                <c:pt idx="62">
                  <c:v>598.96</c:v>
                </c:pt>
                <c:pt idx="63">
                  <c:v>598.66</c:v>
                </c:pt>
                <c:pt idx="64">
                  <c:v>598.37</c:v>
                </c:pt>
                <c:pt idx="65">
                  <c:v>598.1</c:v>
                </c:pt>
                <c:pt idx="66">
                  <c:v>597.86</c:v>
                </c:pt>
                <c:pt idx="67">
                  <c:v>597.6</c:v>
                </c:pt>
                <c:pt idx="68">
                  <c:v>597.36</c:v>
                </c:pt>
                <c:pt idx="69">
                  <c:v>597.14</c:v>
                </c:pt>
                <c:pt idx="70">
                  <c:v>596.94000000000005</c:v>
                </c:pt>
                <c:pt idx="71">
                  <c:v>596.74</c:v>
                </c:pt>
                <c:pt idx="72">
                  <c:v>596.54999999999995</c:v>
                </c:pt>
              </c:numCache>
            </c:numRef>
          </c:val>
          <c:smooth val="0"/>
          <c:extLst xmlns:c16r2="http://schemas.microsoft.com/office/drawing/2015/06/chart">
            <c:ext xmlns:c16="http://schemas.microsoft.com/office/drawing/2014/chart" uri="{C3380CC4-5D6E-409C-BE32-E72D297353CC}">
              <c16:uniqueId val="{00000003-4E82-45C5-BEED-FF320CDCACFC}"/>
            </c:ext>
          </c:extLst>
        </c:ser>
        <c:ser>
          <c:idx val="4"/>
          <c:order val="4"/>
          <c:tx>
            <c:v>0.2 Percent Annual Chance</c:v>
          </c:tx>
          <c:marker>
            <c:symbol val="none"/>
          </c:marker>
          <c:cat>
            <c:numRef>
              <c:f>Hydrograph!$A$3:$A$75</c:f>
              <c:numCache>
                <c:formatCode>0.00</c:formatCode>
                <c:ptCount val="73"/>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numCache>
            </c:numRef>
          </c:cat>
          <c:val>
            <c:numRef>
              <c:f>Hydrograph!$F$3:$F$75</c:f>
              <c:numCache>
                <c:formatCode>General</c:formatCode>
                <c:ptCount val="73"/>
                <c:pt idx="0">
                  <c:v>590.05999999999995</c:v>
                </c:pt>
                <c:pt idx="1">
                  <c:v>590.05999999999995</c:v>
                </c:pt>
                <c:pt idx="2">
                  <c:v>590.05999999999995</c:v>
                </c:pt>
                <c:pt idx="3">
                  <c:v>590.05999999999995</c:v>
                </c:pt>
                <c:pt idx="4">
                  <c:v>590.05999999999995</c:v>
                </c:pt>
                <c:pt idx="5">
                  <c:v>590.05999999999995</c:v>
                </c:pt>
                <c:pt idx="6">
                  <c:v>590.05999999999995</c:v>
                </c:pt>
                <c:pt idx="7">
                  <c:v>590.07000000000005</c:v>
                </c:pt>
                <c:pt idx="8">
                  <c:v>590.09</c:v>
                </c:pt>
                <c:pt idx="9">
                  <c:v>590.12</c:v>
                </c:pt>
                <c:pt idx="10">
                  <c:v>590.22</c:v>
                </c:pt>
                <c:pt idx="11">
                  <c:v>590.62</c:v>
                </c:pt>
                <c:pt idx="12">
                  <c:v>593.72</c:v>
                </c:pt>
                <c:pt idx="13">
                  <c:v>606.48</c:v>
                </c:pt>
                <c:pt idx="14">
                  <c:v>613.91</c:v>
                </c:pt>
                <c:pt idx="15">
                  <c:v>618.92999999999995</c:v>
                </c:pt>
                <c:pt idx="16">
                  <c:v>625.77</c:v>
                </c:pt>
                <c:pt idx="17">
                  <c:v>632.39</c:v>
                </c:pt>
                <c:pt idx="18">
                  <c:v>637.04999999999995</c:v>
                </c:pt>
                <c:pt idx="19">
                  <c:v>640.20000000000005</c:v>
                </c:pt>
                <c:pt idx="20">
                  <c:v>642.04999999999995</c:v>
                </c:pt>
                <c:pt idx="21">
                  <c:v>642.67999999999995</c:v>
                </c:pt>
                <c:pt idx="22">
                  <c:v>642.37</c:v>
                </c:pt>
                <c:pt idx="23">
                  <c:v>641.53</c:v>
                </c:pt>
                <c:pt idx="24">
                  <c:v>640.52</c:v>
                </c:pt>
                <c:pt idx="25">
                  <c:v>639.52</c:v>
                </c:pt>
                <c:pt idx="26">
                  <c:v>638.63</c:v>
                </c:pt>
                <c:pt idx="27">
                  <c:v>637.9</c:v>
                </c:pt>
                <c:pt idx="28">
                  <c:v>637.28</c:v>
                </c:pt>
                <c:pt idx="29">
                  <c:v>636.72</c:v>
                </c:pt>
                <c:pt idx="30">
                  <c:v>636.14</c:v>
                </c:pt>
                <c:pt idx="31">
                  <c:v>635.5</c:v>
                </c:pt>
                <c:pt idx="32">
                  <c:v>634.74</c:v>
                </c:pt>
                <c:pt idx="33">
                  <c:v>633.83000000000004</c:v>
                </c:pt>
                <c:pt idx="34">
                  <c:v>632.76</c:v>
                </c:pt>
                <c:pt idx="35">
                  <c:v>631.57000000000005</c:v>
                </c:pt>
                <c:pt idx="36">
                  <c:v>630.27</c:v>
                </c:pt>
                <c:pt idx="37">
                  <c:v>628.88</c:v>
                </c:pt>
                <c:pt idx="38">
                  <c:v>627.41</c:v>
                </c:pt>
                <c:pt idx="39">
                  <c:v>625.87</c:v>
                </c:pt>
                <c:pt idx="40">
                  <c:v>624.21</c:v>
                </c:pt>
                <c:pt idx="41">
                  <c:v>622.14</c:v>
                </c:pt>
                <c:pt idx="42">
                  <c:v>619.32000000000005</c:v>
                </c:pt>
                <c:pt idx="43">
                  <c:v>616.49</c:v>
                </c:pt>
                <c:pt idx="44">
                  <c:v>613.85</c:v>
                </c:pt>
                <c:pt idx="45">
                  <c:v>611.59</c:v>
                </c:pt>
                <c:pt idx="46">
                  <c:v>609.77</c:v>
                </c:pt>
                <c:pt idx="47">
                  <c:v>608.34</c:v>
                </c:pt>
                <c:pt idx="48">
                  <c:v>607.15</c:v>
                </c:pt>
                <c:pt idx="49">
                  <c:v>606.1</c:v>
                </c:pt>
                <c:pt idx="50">
                  <c:v>605.20000000000005</c:v>
                </c:pt>
                <c:pt idx="51">
                  <c:v>604.39</c:v>
                </c:pt>
                <c:pt idx="52">
                  <c:v>603.66999999999996</c:v>
                </c:pt>
                <c:pt idx="53">
                  <c:v>603.05999999999995</c:v>
                </c:pt>
                <c:pt idx="54">
                  <c:v>602.51</c:v>
                </c:pt>
                <c:pt idx="55">
                  <c:v>602.01</c:v>
                </c:pt>
                <c:pt idx="56">
                  <c:v>601.53</c:v>
                </c:pt>
                <c:pt idx="57">
                  <c:v>601.11</c:v>
                </c:pt>
                <c:pt idx="58">
                  <c:v>600.69000000000005</c:v>
                </c:pt>
                <c:pt idx="59">
                  <c:v>600.27</c:v>
                </c:pt>
                <c:pt idx="60">
                  <c:v>599.88</c:v>
                </c:pt>
                <c:pt idx="61">
                  <c:v>599.54</c:v>
                </c:pt>
                <c:pt idx="62">
                  <c:v>599.20000000000005</c:v>
                </c:pt>
                <c:pt idx="63">
                  <c:v>598.89</c:v>
                </c:pt>
                <c:pt idx="64">
                  <c:v>598.58000000000004</c:v>
                </c:pt>
                <c:pt idx="65">
                  <c:v>598.30999999999995</c:v>
                </c:pt>
                <c:pt idx="66">
                  <c:v>598.04</c:v>
                </c:pt>
                <c:pt idx="67">
                  <c:v>597.78</c:v>
                </c:pt>
                <c:pt idx="68">
                  <c:v>597.54</c:v>
                </c:pt>
                <c:pt idx="69">
                  <c:v>597.29999999999995</c:v>
                </c:pt>
                <c:pt idx="70">
                  <c:v>597.08000000000004</c:v>
                </c:pt>
                <c:pt idx="71">
                  <c:v>596.87</c:v>
                </c:pt>
                <c:pt idx="72">
                  <c:v>596.67999999999995</c:v>
                </c:pt>
              </c:numCache>
            </c:numRef>
          </c:val>
          <c:smooth val="0"/>
          <c:extLst xmlns:c16r2="http://schemas.microsoft.com/office/drawing/2015/06/chart">
            <c:ext xmlns:c16="http://schemas.microsoft.com/office/drawing/2014/chart" uri="{C3380CC4-5D6E-409C-BE32-E72D297353CC}">
              <c16:uniqueId val="{00000004-4E82-45C5-BEED-FF320CDCACFC}"/>
            </c:ext>
          </c:extLst>
        </c:ser>
        <c:ser>
          <c:idx val="5"/>
          <c:order val="5"/>
          <c:tx>
            <c:v>1 Percent Minus Annual Chance</c:v>
          </c:tx>
          <c:marker>
            <c:symbol val="none"/>
          </c:marker>
          <c:val>
            <c:numRef>
              <c:f>Hydrograph!$G$3:$G$75</c:f>
              <c:numCache>
                <c:formatCode>General</c:formatCode>
                <c:ptCount val="73"/>
                <c:pt idx="0">
                  <c:v>590.05999999999995</c:v>
                </c:pt>
                <c:pt idx="1">
                  <c:v>590.05999999999995</c:v>
                </c:pt>
                <c:pt idx="2">
                  <c:v>590.05999999999995</c:v>
                </c:pt>
                <c:pt idx="3">
                  <c:v>590.05999999999995</c:v>
                </c:pt>
                <c:pt idx="4">
                  <c:v>590.05999999999995</c:v>
                </c:pt>
                <c:pt idx="5">
                  <c:v>590.05999999999995</c:v>
                </c:pt>
                <c:pt idx="6">
                  <c:v>590.05999999999995</c:v>
                </c:pt>
                <c:pt idx="7">
                  <c:v>590.05999999999995</c:v>
                </c:pt>
                <c:pt idx="8">
                  <c:v>590.05999999999995</c:v>
                </c:pt>
                <c:pt idx="9">
                  <c:v>590.05999999999995</c:v>
                </c:pt>
                <c:pt idx="10">
                  <c:v>590.05999999999995</c:v>
                </c:pt>
                <c:pt idx="11">
                  <c:v>590.05999999999995</c:v>
                </c:pt>
                <c:pt idx="12">
                  <c:v>590.05999999999995</c:v>
                </c:pt>
                <c:pt idx="13">
                  <c:v>590.15</c:v>
                </c:pt>
                <c:pt idx="14">
                  <c:v>590.54999999999995</c:v>
                </c:pt>
                <c:pt idx="15">
                  <c:v>592.37</c:v>
                </c:pt>
                <c:pt idx="16">
                  <c:v>595.91</c:v>
                </c:pt>
                <c:pt idx="17">
                  <c:v>600.53</c:v>
                </c:pt>
                <c:pt idx="18">
                  <c:v>606.01</c:v>
                </c:pt>
                <c:pt idx="19">
                  <c:v>609.88</c:v>
                </c:pt>
                <c:pt idx="20">
                  <c:v>612.82000000000005</c:v>
                </c:pt>
                <c:pt idx="21">
                  <c:v>614.80999999999995</c:v>
                </c:pt>
                <c:pt idx="22">
                  <c:v>616.22</c:v>
                </c:pt>
                <c:pt idx="23">
                  <c:v>617.29999999999995</c:v>
                </c:pt>
                <c:pt idx="24">
                  <c:v>618.14</c:v>
                </c:pt>
                <c:pt idx="25">
                  <c:v>618.69000000000005</c:v>
                </c:pt>
                <c:pt idx="26">
                  <c:v>618.95000000000005</c:v>
                </c:pt>
                <c:pt idx="27">
                  <c:v>618.99</c:v>
                </c:pt>
                <c:pt idx="28">
                  <c:v>618.9</c:v>
                </c:pt>
                <c:pt idx="29">
                  <c:v>618.72</c:v>
                </c:pt>
                <c:pt idx="30">
                  <c:v>618.45000000000005</c:v>
                </c:pt>
                <c:pt idx="31">
                  <c:v>618.08000000000004</c:v>
                </c:pt>
                <c:pt idx="32">
                  <c:v>617.61</c:v>
                </c:pt>
                <c:pt idx="33">
                  <c:v>617.05999999999995</c:v>
                </c:pt>
                <c:pt idx="34">
                  <c:v>616.49</c:v>
                </c:pt>
                <c:pt idx="35">
                  <c:v>615.9</c:v>
                </c:pt>
                <c:pt idx="36">
                  <c:v>615.26</c:v>
                </c:pt>
                <c:pt idx="37">
                  <c:v>614.53</c:v>
                </c:pt>
                <c:pt idx="38">
                  <c:v>613.66999999999996</c:v>
                </c:pt>
                <c:pt idx="39">
                  <c:v>612.67999999999995</c:v>
                </c:pt>
                <c:pt idx="40">
                  <c:v>611.65</c:v>
                </c:pt>
                <c:pt idx="41">
                  <c:v>610.62</c:v>
                </c:pt>
                <c:pt idx="42">
                  <c:v>609.64</c:v>
                </c:pt>
                <c:pt idx="43">
                  <c:v>608.76</c:v>
                </c:pt>
                <c:pt idx="44">
                  <c:v>607.9</c:v>
                </c:pt>
                <c:pt idx="45">
                  <c:v>607.07000000000005</c:v>
                </c:pt>
                <c:pt idx="46">
                  <c:v>606.29</c:v>
                </c:pt>
                <c:pt idx="47">
                  <c:v>605.58000000000004</c:v>
                </c:pt>
                <c:pt idx="48">
                  <c:v>604.91999999999996</c:v>
                </c:pt>
                <c:pt idx="49">
                  <c:v>604.30999999999995</c:v>
                </c:pt>
                <c:pt idx="50">
                  <c:v>603.71</c:v>
                </c:pt>
                <c:pt idx="51">
                  <c:v>603.17999999999995</c:v>
                </c:pt>
                <c:pt idx="52">
                  <c:v>602.66999999999996</c:v>
                </c:pt>
                <c:pt idx="53">
                  <c:v>602.20000000000005</c:v>
                </c:pt>
                <c:pt idx="54">
                  <c:v>601.77</c:v>
                </c:pt>
                <c:pt idx="55">
                  <c:v>601.34</c:v>
                </c:pt>
                <c:pt idx="56">
                  <c:v>600.9</c:v>
                </c:pt>
                <c:pt idx="57">
                  <c:v>600.5</c:v>
                </c:pt>
                <c:pt idx="58">
                  <c:v>600.14</c:v>
                </c:pt>
                <c:pt idx="59">
                  <c:v>599.79</c:v>
                </c:pt>
                <c:pt idx="60">
                  <c:v>599.46</c:v>
                </c:pt>
                <c:pt idx="61">
                  <c:v>599.14</c:v>
                </c:pt>
                <c:pt idx="62">
                  <c:v>598.83000000000004</c:v>
                </c:pt>
                <c:pt idx="63">
                  <c:v>598.54</c:v>
                </c:pt>
                <c:pt idx="64">
                  <c:v>598.29</c:v>
                </c:pt>
                <c:pt idx="65">
                  <c:v>598.04</c:v>
                </c:pt>
                <c:pt idx="66">
                  <c:v>597.78</c:v>
                </c:pt>
                <c:pt idx="67">
                  <c:v>597.52</c:v>
                </c:pt>
                <c:pt idx="68">
                  <c:v>597.29</c:v>
                </c:pt>
                <c:pt idx="69">
                  <c:v>597.08000000000004</c:v>
                </c:pt>
                <c:pt idx="70">
                  <c:v>596.87</c:v>
                </c:pt>
                <c:pt idx="71">
                  <c:v>596.66999999999996</c:v>
                </c:pt>
                <c:pt idx="72">
                  <c:v>596.49</c:v>
                </c:pt>
              </c:numCache>
            </c:numRef>
          </c:val>
          <c:smooth val="0"/>
          <c:extLst xmlns:c16r2="http://schemas.microsoft.com/office/drawing/2015/06/chart">
            <c:ext xmlns:c16="http://schemas.microsoft.com/office/drawing/2014/chart" uri="{C3380CC4-5D6E-409C-BE32-E72D297353CC}">
              <c16:uniqueId val="{00000005-4E82-45C5-BEED-FF320CDCACFC}"/>
            </c:ext>
          </c:extLst>
        </c:ser>
        <c:ser>
          <c:idx val="6"/>
          <c:order val="6"/>
          <c:tx>
            <c:v>1 Percent Plus Annual Chance</c:v>
          </c:tx>
          <c:marker>
            <c:symbol val="none"/>
          </c:marker>
          <c:val>
            <c:numRef>
              <c:f>Hydrograph!$H$3:$H$75</c:f>
              <c:numCache>
                <c:formatCode>General</c:formatCode>
                <c:ptCount val="73"/>
                <c:pt idx="0">
                  <c:v>590.05999999999995</c:v>
                </c:pt>
                <c:pt idx="1">
                  <c:v>590.05999999999995</c:v>
                </c:pt>
                <c:pt idx="2">
                  <c:v>590.05999999999995</c:v>
                </c:pt>
                <c:pt idx="3">
                  <c:v>590.05999999999995</c:v>
                </c:pt>
                <c:pt idx="4">
                  <c:v>590.05999999999995</c:v>
                </c:pt>
                <c:pt idx="5">
                  <c:v>590.05999999999995</c:v>
                </c:pt>
                <c:pt idx="6">
                  <c:v>590.07000000000005</c:v>
                </c:pt>
                <c:pt idx="7">
                  <c:v>590.09</c:v>
                </c:pt>
                <c:pt idx="8">
                  <c:v>590.13</c:v>
                </c:pt>
                <c:pt idx="9">
                  <c:v>590.20000000000005</c:v>
                </c:pt>
                <c:pt idx="10">
                  <c:v>590.45000000000005</c:v>
                </c:pt>
                <c:pt idx="11">
                  <c:v>591.38</c:v>
                </c:pt>
                <c:pt idx="12">
                  <c:v>596.34</c:v>
                </c:pt>
                <c:pt idx="13">
                  <c:v>608.59</c:v>
                </c:pt>
                <c:pt idx="14">
                  <c:v>615.42999999999995</c:v>
                </c:pt>
                <c:pt idx="15">
                  <c:v>620.96</c:v>
                </c:pt>
                <c:pt idx="16">
                  <c:v>628.45000000000005</c:v>
                </c:pt>
                <c:pt idx="17">
                  <c:v>634.79999999999995</c:v>
                </c:pt>
                <c:pt idx="18">
                  <c:v>639.11</c:v>
                </c:pt>
                <c:pt idx="19">
                  <c:v>641.91</c:v>
                </c:pt>
                <c:pt idx="20">
                  <c:v>643.38</c:v>
                </c:pt>
                <c:pt idx="21">
                  <c:v>643.63</c:v>
                </c:pt>
                <c:pt idx="22">
                  <c:v>643</c:v>
                </c:pt>
                <c:pt idx="23">
                  <c:v>641.94000000000005</c:v>
                </c:pt>
                <c:pt idx="24">
                  <c:v>640.78</c:v>
                </c:pt>
                <c:pt idx="25">
                  <c:v>639.70000000000005</c:v>
                </c:pt>
                <c:pt idx="26">
                  <c:v>638.79999999999995</c:v>
                </c:pt>
                <c:pt idx="27">
                  <c:v>638.1</c:v>
                </c:pt>
                <c:pt idx="28">
                  <c:v>637.51</c:v>
                </c:pt>
                <c:pt idx="29">
                  <c:v>636.95000000000005</c:v>
                </c:pt>
                <c:pt idx="30">
                  <c:v>636.36</c:v>
                </c:pt>
                <c:pt idx="31">
                  <c:v>635.66999999999996</c:v>
                </c:pt>
                <c:pt idx="32">
                  <c:v>634.84</c:v>
                </c:pt>
                <c:pt idx="33">
                  <c:v>633.84</c:v>
                </c:pt>
                <c:pt idx="34">
                  <c:v>632.69000000000005</c:v>
                </c:pt>
                <c:pt idx="35">
                  <c:v>631.42999999999995</c:v>
                </c:pt>
                <c:pt idx="36">
                  <c:v>630.07000000000005</c:v>
                </c:pt>
                <c:pt idx="37">
                  <c:v>628.61</c:v>
                </c:pt>
                <c:pt idx="38">
                  <c:v>627.08000000000004</c:v>
                </c:pt>
                <c:pt idx="39">
                  <c:v>625.47</c:v>
                </c:pt>
                <c:pt idx="40">
                  <c:v>623.67999999999995</c:v>
                </c:pt>
                <c:pt idx="41">
                  <c:v>621.23</c:v>
                </c:pt>
                <c:pt idx="42">
                  <c:v>618.28</c:v>
                </c:pt>
                <c:pt idx="43">
                  <c:v>615.5</c:v>
                </c:pt>
                <c:pt idx="44">
                  <c:v>612.95000000000005</c:v>
                </c:pt>
                <c:pt idx="45">
                  <c:v>610.87</c:v>
                </c:pt>
                <c:pt idx="46">
                  <c:v>609.21</c:v>
                </c:pt>
                <c:pt idx="47">
                  <c:v>607.91</c:v>
                </c:pt>
                <c:pt idx="48">
                  <c:v>606.76</c:v>
                </c:pt>
                <c:pt idx="49">
                  <c:v>605.79</c:v>
                </c:pt>
                <c:pt idx="50">
                  <c:v>604.92999999999995</c:v>
                </c:pt>
                <c:pt idx="51">
                  <c:v>604.16</c:v>
                </c:pt>
                <c:pt idx="52">
                  <c:v>603.48</c:v>
                </c:pt>
                <c:pt idx="53">
                  <c:v>602.91</c:v>
                </c:pt>
                <c:pt idx="54">
                  <c:v>602.37</c:v>
                </c:pt>
                <c:pt idx="55">
                  <c:v>601.88</c:v>
                </c:pt>
                <c:pt idx="56">
                  <c:v>601.42999999999995</c:v>
                </c:pt>
                <c:pt idx="57">
                  <c:v>601.02</c:v>
                </c:pt>
                <c:pt idx="58">
                  <c:v>600.6</c:v>
                </c:pt>
                <c:pt idx="59">
                  <c:v>600.17999999999995</c:v>
                </c:pt>
                <c:pt idx="60">
                  <c:v>599.80999999999995</c:v>
                </c:pt>
                <c:pt idx="61">
                  <c:v>599.47</c:v>
                </c:pt>
                <c:pt idx="62">
                  <c:v>599.14</c:v>
                </c:pt>
                <c:pt idx="63">
                  <c:v>598.82000000000005</c:v>
                </c:pt>
                <c:pt idx="64">
                  <c:v>598.52</c:v>
                </c:pt>
                <c:pt idx="65">
                  <c:v>598.25</c:v>
                </c:pt>
                <c:pt idx="66">
                  <c:v>597.98</c:v>
                </c:pt>
                <c:pt idx="67">
                  <c:v>597.73</c:v>
                </c:pt>
                <c:pt idx="68">
                  <c:v>597.48</c:v>
                </c:pt>
                <c:pt idx="69">
                  <c:v>597.26</c:v>
                </c:pt>
                <c:pt idx="70">
                  <c:v>597.04</c:v>
                </c:pt>
                <c:pt idx="71">
                  <c:v>596.83000000000004</c:v>
                </c:pt>
                <c:pt idx="72">
                  <c:v>596.65</c:v>
                </c:pt>
              </c:numCache>
            </c:numRef>
          </c:val>
          <c:smooth val="0"/>
          <c:extLst xmlns:c16r2="http://schemas.microsoft.com/office/drawing/2015/06/chart">
            <c:ext xmlns:c16="http://schemas.microsoft.com/office/drawing/2014/chart" uri="{C3380CC4-5D6E-409C-BE32-E72D297353CC}">
              <c16:uniqueId val="{00000006-4E82-45C5-BEED-FF320CDCACFC}"/>
            </c:ext>
          </c:extLst>
        </c:ser>
        <c:dLbls>
          <c:showLegendKey val="0"/>
          <c:showVal val="0"/>
          <c:showCatName val="0"/>
          <c:showSerName val="0"/>
          <c:showPercent val="0"/>
          <c:showBubbleSize val="0"/>
        </c:dLbls>
        <c:marker val="1"/>
        <c:smooth val="0"/>
        <c:axId val="133660672"/>
        <c:axId val="133662592"/>
      </c:lineChart>
      <c:catAx>
        <c:axId val="133660672"/>
        <c:scaling>
          <c:orientation val="minMax"/>
        </c:scaling>
        <c:delete val="0"/>
        <c:axPos val="b"/>
        <c:title>
          <c:tx>
            <c:rich>
              <a:bodyPr/>
              <a:lstStyle/>
              <a:p>
                <a:pPr>
                  <a:defRPr/>
                </a:pPr>
                <a:r>
                  <a:rPr lang="en-US">
                    <a:latin typeface="Calibri" panose="020F0502020204030204" pitchFamily="34" charset="0"/>
                  </a:rPr>
                  <a:t>Time (hours)</a:t>
                </a:r>
              </a:p>
            </c:rich>
          </c:tx>
          <c:layout/>
          <c:overlay val="0"/>
        </c:title>
        <c:numFmt formatCode="General" sourceLinked="0"/>
        <c:majorTickMark val="out"/>
        <c:minorTickMark val="none"/>
        <c:tickLblPos val="nextTo"/>
        <c:crossAx val="133662592"/>
        <c:crosses val="autoZero"/>
        <c:auto val="1"/>
        <c:lblAlgn val="ctr"/>
        <c:lblOffset val="100"/>
        <c:tickLblSkip val="5"/>
        <c:tickMarkSkip val="8"/>
        <c:noMultiLvlLbl val="0"/>
      </c:catAx>
      <c:valAx>
        <c:axId val="133662592"/>
        <c:scaling>
          <c:orientation val="minMax"/>
          <c:min val="590"/>
        </c:scaling>
        <c:delete val="0"/>
        <c:axPos val="l"/>
        <c:majorGridlines/>
        <c:title>
          <c:tx>
            <c:rich>
              <a:bodyPr rot="-5400000" vert="horz"/>
              <a:lstStyle/>
              <a:p>
                <a:pPr>
                  <a:defRPr/>
                </a:pPr>
                <a:r>
                  <a:rPr lang="en-US">
                    <a:latin typeface="Calibri" panose="020F0502020204030204" pitchFamily="34" charset="0"/>
                  </a:rPr>
                  <a:t>Stage (ft)</a:t>
                </a:r>
              </a:p>
            </c:rich>
          </c:tx>
          <c:layout>
            <c:manualLayout>
              <c:xMode val="edge"/>
              <c:yMode val="edge"/>
              <c:x val="2.0361189328599136E-2"/>
              <c:y val="0.34598456442944631"/>
            </c:manualLayout>
          </c:layout>
          <c:overlay val="0"/>
        </c:title>
        <c:numFmt formatCode="General" sourceLinked="1"/>
        <c:majorTickMark val="out"/>
        <c:minorTickMark val="none"/>
        <c:tickLblPos val="nextTo"/>
        <c:crossAx val="133660672"/>
        <c:crosses val="autoZero"/>
        <c:crossBetween val="between"/>
      </c:valAx>
      <c:spPr>
        <a:ln>
          <a:solidFill>
            <a:schemeClr val="tx1"/>
          </a:solidFill>
        </a:ln>
      </c:spPr>
    </c:plotArea>
    <c:legend>
      <c:legendPos val="r"/>
      <c:layout>
        <c:manualLayout>
          <c:xMode val="edge"/>
          <c:yMode val="edge"/>
          <c:x val="0.62671620202937872"/>
          <c:y val="5.7985662239981195E-2"/>
          <c:w val="0.33535683336495054"/>
          <c:h val="0.34004291583647872"/>
        </c:manualLayout>
      </c:layout>
      <c:overlay val="1"/>
      <c:spPr>
        <a:solidFill>
          <a:schemeClr val="bg1"/>
        </a:solidFill>
        <a:ln>
          <a:solidFill>
            <a:schemeClr val="tx1"/>
          </a:solidFill>
        </a:ln>
      </c:spPr>
      <c:txPr>
        <a:bodyPr/>
        <a:lstStyle/>
        <a:p>
          <a:pPr>
            <a:defRPr sz="800"/>
          </a:pPr>
          <a:endParaRPr lang="en-US"/>
        </a:p>
      </c:txPr>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2"/>
          <c:order val="0"/>
          <c:tx>
            <c:v>Modeled Flow</c:v>
          </c:tx>
          <c:spPr>
            <a:ln w="28575">
              <a:noFill/>
            </a:ln>
          </c:spPr>
          <c:marker>
            <c:symbol val="diamond"/>
            <c:size val="7"/>
          </c:marker>
          <c:errBars>
            <c:errDir val="y"/>
            <c:errBarType val="both"/>
            <c:errValType val="cust"/>
            <c:noEndCap val="0"/>
            <c:plus>
              <c:numRef>
                <c:f>calibration!$I$2:$I$10</c:f>
                <c:numCache>
                  <c:formatCode>General</c:formatCode>
                  <c:ptCount val="9"/>
                  <c:pt idx="0">
                    <c:v>8641.5750000000007</c:v>
                  </c:pt>
                  <c:pt idx="1">
                    <c:v>1860.65</c:v>
                  </c:pt>
                  <c:pt idx="2">
                    <c:v>5442.6500000000015</c:v>
                  </c:pt>
                  <c:pt idx="7">
                    <c:v>19480</c:v>
                  </c:pt>
                </c:numCache>
              </c:numRef>
            </c:plus>
            <c:minus>
              <c:numRef>
                <c:f>calibration!$H$2:$H$10</c:f>
                <c:numCache>
                  <c:formatCode>General</c:formatCode>
                  <c:ptCount val="9"/>
                  <c:pt idx="0">
                    <c:v>4334</c:v>
                  </c:pt>
                  <c:pt idx="1">
                    <c:v>933</c:v>
                  </c:pt>
                  <c:pt idx="2">
                    <c:v>2730</c:v>
                  </c:pt>
                  <c:pt idx="7">
                    <c:v>13140</c:v>
                  </c:pt>
                </c:numCache>
              </c:numRef>
            </c:minus>
          </c:errBars>
          <c:errBars>
            <c:errDir val="x"/>
            <c:errBarType val="both"/>
            <c:errValType val="fixedVal"/>
            <c:noEndCap val="0"/>
            <c:val val="0"/>
          </c:errBars>
          <c:xVal>
            <c:numRef>
              <c:f>calibration!$C$2:$C$10</c:f>
              <c:numCache>
                <c:formatCode>General</c:formatCode>
                <c:ptCount val="9"/>
                <c:pt idx="0">
                  <c:v>6.3</c:v>
                </c:pt>
                <c:pt idx="1">
                  <c:v>1.6</c:v>
                </c:pt>
                <c:pt idx="2">
                  <c:v>2.8</c:v>
                </c:pt>
                <c:pt idx="7">
                  <c:v>455</c:v>
                </c:pt>
              </c:numCache>
            </c:numRef>
          </c:xVal>
          <c:yVal>
            <c:numRef>
              <c:f>calibration!$G$2:$G$10</c:f>
              <c:numCache>
                <c:formatCode>General</c:formatCode>
                <c:ptCount val="9"/>
                <c:pt idx="0">
                  <c:v>6556.0910000000003</c:v>
                </c:pt>
                <c:pt idx="1">
                  <c:v>1594.7950000000001</c:v>
                </c:pt>
                <c:pt idx="2">
                  <c:v>2345.8200000000002</c:v>
                </c:pt>
                <c:pt idx="7">
                  <c:v>90851.210999999996</c:v>
                </c:pt>
              </c:numCache>
            </c:numRef>
          </c:yVal>
          <c:smooth val="0"/>
          <c:extLst xmlns:c16r2="http://schemas.microsoft.com/office/drawing/2015/06/chart">
            <c:ext xmlns:c16="http://schemas.microsoft.com/office/drawing/2014/chart" uri="{C3380CC4-5D6E-409C-BE32-E72D297353CC}">
              <c16:uniqueId val="{00000000-C523-4E2A-950B-143FCAD559CB}"/>
            </c:ext>
          </c:extLst>
        </c:ser>
        <c:ser>
          <c:idx val="0"/>
          <c:order val="1"/>
          <c:tx>
            <c:v>Effective Data</c:v>
          </c:tx>
          <c:spPr>
            <a:ln w="28575">
              <a:noFill/>
            </a:ln>
          </c:spPr>
          <c:marker>
            <c:symbol val="triangle"/>
            <c:size val="7"/>
            <c:spPr>
              <a:noFill/>
            </c:spPr>
          </c:marker>
          <c:xVal>
            <c:numRef>
              <c:f>calibration!$C$2:$C$5</c:f>
              <c:numCache>
                <c:formatCode>General</c:formatCode>
                <c:ptCount val="4"/>
                <c:pt idx="0">
                  <c:v>6.3</c:v>
                </c:pt>
                <c:pt idx="1">
                  <c:v>1.6</c:v>
                </c:pt>
                <c:pt idx="2">
                  <c:v>2.8</c:v>
                </c:pt>
              </c:numCache>
            </c:numRef>
          </c:xVal>
          <c:yVal>
            <c:numRef>
              <c:f>calibration!$E$2:$E$5</c:f>
              <c:numCache>
                <c:formatCode>_(* #,##0_);_(* \(#,##0\);_(* "-"??_);_(@_)</c:formatCode>
                <c:ptCount val="4"/>
                <c:pt idx="0">
                  <c:v>8685</c:v>
                </c:pt>
                <c:pt idx="1">
                  <c:v>1870</c:v>
                </c:pt>
                <c:pt idx="2" formatCode="General">
                  <c:v>5470</c:v>
                </c:pt>
              </c:numCache>
            </c:numRef>
          </c:yVal>
          <c:smooth val="0"/>
          <c:extLst xmlns:c16r2="http://schemas.microsoft.com/office/drawing/2015/06/chart">
            <c:ext xmlns:c16="http://schemas.microsoft.com/office/drawing/2014/chart" uri="{C3380CC4-5D6E-409C-BE32-E72D297353CC}">
              <c16:uniqueId val="{00000001-C523-4E2A-950B-143FCAD559CB}"/>
            </c:ext>
          </c:extLst>
        </c:ser>
        <c:ser>
          <c:idx val="3"/>
          <c:order val="2"/>
          <c:tx>
            <c:v>Gage Data</c:v>
          </c:tx>
          <c:spPr>
            <a:ln w="28575">
              <a:noFill/>
            </a:ln>
          </c:spPr>
          <c:xVal>
            <c:numRef>
              <c:f>calibration!$C$9:$C$10</c:f>
              <c:numCache>
                <c:formatCode>General</c:formatCode>
                <c:ptCount val="2"/>
                <c:pt idx="0">
                  <c:v>455</c:v>
                </c:pt>
              </c:numCache>
            </c:numRef>
          </c:xVal>
          <c:yVal>
            <c:numRef>
              <c:f>calibration!$E$9:$E$10</c:f>
              <c:numCache>
                <c:formatCode>General</c:formatCode>
                <c:ptCount val="2"/>
                <c:pt idx="0" formatCode="_(* #,##0_);_(* \(#,##0\);_(* &quot;-&quot;??_);_(@_)">
                  <c:v>85320</c:v>
                </c:pt>
              </c:numCache>
            </c:numRef>
          </c:yVal>
          <c:smooth val="0"/>
          <c:extLst xmlns:c16r2="http://schemas.microsoft.com/office/drawing/2015/06/chart">
            <c:ext xmlns:c16="http://schemas.microsoft.com/office/drawing/2014/chart" uri="{C3380CC4-5D6E-409C-BE32-E72D297353CC}">
              <c16:uniqueId val="{00000000-DA26-4E9B-AB01-D5B956AA540F}"/>
            </c:ext>
          </c:extLst>
        </c:ser>
        <c:dLbls>
          <c:showLegendKey val="0"/>
          <c:showVal val="0"/>
          <c:showCatName val="0"/>
          <c:showSerName val="0"/>
          <c:showPercent val="0"/>
          <c:showBubbleSize val="0"/>
        </c:dLbls>
        <c:axId val="134122112"/>
        <c:axId val="134128384"/>
      </c:scatterChart>
      <c:valAx>
        <c:axId val="134122112"/>
        <c:scaling>
          <c:logBase val="10"/>
          <c:orientation val="minMax"/>
        </c:scaling>
        <c:delete val="0"/>
        <c:axPos val="b"/>
        <c:majorGridlines>
          <c:spPr>
            <a:ln>
              <a:solidFill>
                <a:schemeClr val="bg1">
                  <a:lumMod val="65000"/>
                  <a:alpha val="50000"/>
                </a:schemeClr>
              </a:solidFill>
            </a:ln>
          </c:spPr>
        </c:majorGridlines>
        <c:title>
          <c:tx>
            <c:rich>
              <a:bodyPr/>
              <a:lstStyle/>
              <a:p>
                <a:pPr>
                  <a:defRPr/>
                </a:pPr>
                <a:r>
                  <a:rPr lang="en-US"/>
                  <a:t>Drainage</a:t>
                </a:r>
                <a:r>
                  <a:rPr lang="en-US" baseline="0"/>
                  <a:t> Area (Mi</a:t>
                </a:r>
                <a:r>
                  <a:rPr lang="en-US" baseline="30000"/>
                  <a:t>2</a:t>
                </a:r>
                <a:r>
                  <a:rPr lang="en-US" baseline="0"/>
                  <a:t>)</a:t>
                </a:r>
                <a:endParaRPr lang="en-US"/>
              </a:p>
            </c:rich>
          </c:tx>
          <c:layout/>
          <c:overlay val="0"/>
        </c:title>
        <c:numFmt formatCode="General" sourceLinked="1"/>
        <c:majorTickMark val="out"/>
        <c:minorTickMark val="none"/>
        <c:tickLblPos val="nextTo"/>
        <c:crossAx val="134128384"/>
        <c:crosses val="autoZero"/>
        <c:crossBetween val="midCat"/>
      </c:valAx>
      <c:valAx>
        <c:axId val="134128384"/>
        <c:scaling>
          <c:orientation val="minMax"/>
          <c:min val="0"/>
        </c:scaling>
        <c:delete val="0"/>
        <c:axPos val="l"/>
        <c:majorGridlines>
          <c:spPr>
            <a:ln>
              <a:solidFill>
                <a:schemeClr val="bg1">
                  <a:lumMod val="65000"/>
                  <a:alpha val="50000"/>
                </a:schemeClr>
              </a:solidFill>
            </a:ln>
          </c:spPr>
        </c:majorGridlines>
        <c:title>
          <c:tx>
            <c:rich>
              <a:bodyPr rot="-5400000" vert="horz"/>
              <a:lstStyle/>
              <a:p>
                <a:pPr>
                  <a:defRPr/>
                </a:pPr>
                <a:r>
                  <a:rPr lang="en-US"/>
                  <a:t>Discharge</a:t>
                </a:r>
                <a:r>
                  <a:rPr lang="en-US" baseline="0"/>
                  <a:t> (cfs)</a:t>
                </a:r>
                <a:endParaRPr lang="en-US"/>
              </a:p>
            </c:rich>
          </c:tx>
          <c:layout/>
          <c:overlay val="0"/>
        </c:title>
        <c:numFmt formatCode="General" sourceLinked="1"/>
        <c:majorTickMark val="out"/>
        <c:minorTickMark val="none"/>
        <c:tickLblPos val="nextTo"/>
        <c:crossAx val="134122112"/>
        <c:crosses val="autoZero"/>
        <c:crossBetween val="midCat"/>
      </c:valAx>
      <c:spPr>
        <a:noFill/>
        <a:ln>
          <a:solidFill>
            <a:schemeClr val="bg1">
              <a:lumMod val="65000"/>
              <a:alpha val="50000"/>
            </a:schemeClr>
          </a:solidFill>
        </a:ln>
      </c:spPr>
    </c:plotArea>
    <c:legend>
      <c:legendPos val="l"/>
      <c:layout>
        <c:manualLayout>
          <c:xMode val="edge"/>
          <c:yMode val="edge"/>
          <c:x val="0.18006844795598387"/>
          <c:y val="6.1809815745168931E-2"/>
          <c:w val="0.1675673632033769"/>
          <c:h val="0.1923341257016031"/>
        </c:manualLayout>
      </c:layout>
      <c:overlay val="1"/>
      <c:spPr>
        <a:solidFill>
          <a:schemeClr val="bg1"/>
        </a:solidFill>
        <a:ln>
          <a:solidFill>
            <a:schemeClr val="tx1"/>
          </a:solidFill>
        </a:ln>
      </c:spPr>
    </c:legend>
    <c:plotVisOnly val="1"/>
    <c:dispBlanksAs val="gap"/>
    <c:showDLblsOverMax val="0"/>
  </c:chart>
  <c:spPr>
    <a:ln>
      <a:solidFill>
        <a:schemeClr val="tx1"/>
      </a:solidFill>
    </a:ln>
  </c:spPr>
  <c:externalData r:id="rId1">
    <c:autoUpdate val="0"/>
  </c:externalData>
</c:chartSpace>
</file>

<file path=word/theme/theme1.xml><?xml version="1.0" encoding="utf-8"?>
<a:theme xmlns:a="http://schemas.openxmlformats.org/drawingml/2006/main" name="Office Theme">
  <a:themeElements>
    <a:clrScheme name="AECOM">
      <a:dk1>
        <a:sysClr val="windowText" lastClr="000000"/>
      </a:dk1>
      <a:lt1>
        <a:sysClr val="window" lastClr="FFFFFF"/>
      </a:lt1>
      <a:dk2>
        <a:srgbClr val="000000"/>
      </a:dk2>
      <a:lt2>
        <a:srgbClr val="FFFFFF"/>
      </a:lt2>
      <a:accent1>
        <a:srgbClr val="00B5E2"/>
      </a:accent1>
      <a:accent2>
        <a:srgbClr val="84BD00"/>
      </a:accent2>
      <a:accent3>
        <a:srgbClr val="F68B1F"/>
      </a:accent3>
      <a:accent4>
        <a:srgbClr val="9E007E"/>
      </a:accent4>
      <a:accent5>
        <a:srgbClr val="FFE512"/>
      </a:accent5>
      <a:accent6>
        <a:srgbClr val="8C8279"/>
      </a:accent6>
      <a:hlink>
        <a:srgbClr val="63C1DF"/>
      </a:hlink>
      <a:folHlink>
        <a:srgbClr val="9C0880"/>
      </a:folHlink>
    </a:clrScheme>
    <a:fontScheme name="AECOM Arial">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E715026-BE28-49B0-9FC7-9A8E953D9C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AECOM_Report</Template>
  <TotalTime>4</TotalTime>
  <Pages>32</Pages>
  <Words>9996</Words>
  <Characters>56983</Characters>
  <Application>Microsoft Office Word</Application>
  <DocSecurity>0</DocSecurity>
  <Lines>474</Lines>
  <Paragraphs>133</Paragraphs>
  <ScaleCrop>false</ScaleCrop>
  <HeadingPairs>
    <vt:vector size="2" baseType="variant">
      <vt:variant>
        <vt:lpstr>Title</vt:lpstr>
      </vt:variant>
      <vt:variant>
        <vt:i4>1</vt:i4>
      </vt:variant>
    </vt:vector>
  </HeadingPairs>
  <TitlesOfParts>
    <vt:vector size="1" baseType="lpstr">
      <vt:lpstr>Texas Water Development Board 2D BLE</vt:lpstr>
    </vt:vector>
  </TitlesOfParts>
  <Company>AECOM</Company>
  <LinksUpToDate>false</LinksUpToDate>
  <CharactersWithSpaces>66846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Texas Water Development Board 2D BLE</dc:title>
  <dc:subject>Texas Water Development Water Board</dc:subject>
  <dc:creator>Samagra.Rana@aecom.com</dc:creator>
  <cp:keywords>Project ref:   Project number:</cp:keywords>
  <cp:lastModifiedBy>Sutton, Sean</cp:lastModifiedBy>
  <cp:revision>4</cp:revision>
  <cp:lastPrinted>2022-08-24T20:51:00Z</cp:lastPrinted>
  <dcterms:created xsi:type="dcterms:W3CDTF">2022-08-24T20:43:00Z</dcterms:created>
  <dcterms:modified xsi:type="dcterms:W3CDTF">2022-08-24T20:52:00Z</dcterms:modified>
  <cp:category>Report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emplate">
    <vt:lpwstr>AECOM_Report</vt:lpwstr>
  </property>
  <property fmtid="{D5CDD505-2E9C-101B-9397-08002B2CF9AE}" pid="3" name="TemplateVersion">
    <vt:lpwstr>2.4</vt:lpwstr>
  </property>
  <property fmtid="{D5CDD505-2E9C-101B-9397-08002B2CF9AE}" pid="4" name="HeaderTitle">
    <vt:lpwstr>Verdigris Custom Watershed</vt:lpwstr>
  </property>
  <property fmtid="{D5CDD505-2E9C-101B-9397-08002B2CF9AE}" pid="5" name="ProtectiveMarking">
    <vt:lpwstr/>
  </property>
  <property fmtid="{D5CDD505-2E9C-101B-9397-08002B2CF9AE}" pid="6" name="HeaderClient">
    <vt:lpwstr> </vt:lpwstr>
  </property>
  <property fmtid="{D5CDD505-2E9C-101B-9397-08002B2CF9AE}" pid="7" name="AdditionalCompanyName">
    <vt:lpwstr/>
  </property>
  <property fmtid="{D5CDD505-2E9C-101B-9397-08002B2CF9AE}" pid="8" name="ClientName">
    <vt:lpwstr>Kansas Department of Agriculture Division of Water Resources</vt:lpwstr>
  </property>
  <property fmtid="{D5CDD505-2E9C-101B-9397-08002B2CF9AE}" pid="9" name="TenderStage">
    <vt:lpwstr/>
  </property>
  <property fmtid="{D5CDD505-2E9C-101B-9397-08002B2CF9AE}" pid="10" name="ProjectRef">
    <vt:lpwstr> </vt:lpwstr>
  </property>
  <property fmtid="{D5CDD505-2E9C-101B-9397-08002B2CF9AE}" pid="11" name="ProjectNumber">
    <vt:lpwstr> </vt:lpwstr>
  </property>
  <property fmtid="{D5CDD505-2E9C-101B-9397-08002B2CF9AE}" pid="12" name="CopyNo">
    <vt:lpwstr>&lt;CopyNo&gt;</vt:lpwstr>
  </property>
  <property fmtid="{D5CDD505-2E9C-101B-9397-08002B2CF9AE}" pid="13" name="CopyNoTotal">
    <vt:lpwstr>&lt;CopyNoTotal&gt;</vt:lpwstr>
  </property>
  <property fmtid="{D5CDD505-2E9C-101B-9397-08002B2CF9AE}" pid="14" name="SupplementaryTitle">
    <vt:lpwstr>XZY Model Hydrology and Hydraulics</vt:lpwstr>
  </property>
  <property fmtid="{D5CDD505-2E9C-101B-9397-08002B2CF9AE}" pid="15" name="Subtitle">
    <vt:lpwstr>2D Base Level Engineering</vt:lpwstr>
  </property>
  <property fmtid="{D5CDD505-2E9C-101B-9397-08002B2CF9AE}" pid="16" name="DocumentReference">
    <vt:lpwstr/>
  </property>
  <property fmtid="{D5CDD505-2E9C-101B-9397-08002B2CF9AE}" pid="17" name="Date">
    <vt:lpwstr>April 8, 2019</vt:lpwstr>
  </property>
  <property fmtid="{D5CDD505-2E9C-101B-9397-08002B2CF9AE}" pid="18" name="Copies">
    <vt:lpwstr/>
  </property>
  <property fmtid="{D5CDD505-2E9C-101B-9397-08002B2CF9AE}" pid="19" name="ProjectRefSlash">
    <vt:lpwstr> / </vt:lpwstr>
  </property>
  <property fmtid="{D5CDD505-2E9C-101B-9397-08002B2CF9AE}" pid="20" name="DocumentTitle">
    <vt:lpwstr>Verdigris Custom Watershed</vt:lpwstr>
  </property>
  <property fmtid="{D5CDD505-2E9C-101B-9397-08002B2CF9AE}" pid="21" name="FooterClientAddress">
    <vt:lpwstr/>
  </property>
  <property fmtid="{D5CDD505-2E9C-101B-9397-08002B2CF9AE}" pid="22" name="ClientNumber">
    <vt:lpwstr/>
  </property>
  <property fmtid="{D5CDD505-2E9C-101B-9397-08002B2CF9AE}" pid="23" name="Draft">
    <vt:lpwstr> </vt:lpwstr>
  </property>
  <property fmtid="{D5CDD505-2E9C-101B-9397-08002B2CF9AE}" pid="24" name="AccreditationText">
    <vt:lpwstr/>
  </property>
  <property fmtid="{D5CDD505-2E9C-101B-9397-08002B2CF9AE}" pid="25" name="GreenInitiative">
    <vt:lpwstr/>
  </property>
  <property fmtid="{D5CDD505-2E9C-101B-9397-08002B2CF9AE}" pid="26" name="PreparedBy">
    <vt:lpwstr>&lt;PreparedBy&gt;</vt:lpwstr>
  </property>
  <property fmtid="{D5CDD505-2E9C-101B-9397-08002B2CF9AE}" pid="27" name="ShowFilePath">
    <vt:lpwstr>0</vt:lpwstr>
  </property>
  <property fmtid="{D5CDD505-2E9C-101B-9397-08002B2CF9AE}" pid="28" name="PreparedFor">
    <vt:lpwstr>Prepared for: </vt:lpwstr>
  </property>
  <property fmtid="{D5CDD505-2E9C-101B-9397-08002B2CF9AE}" pid="29" name="InAssociationWith">
    <vt:lpwstr> </vt:lpwstr>
  </property>
  <property fmtid="{D5CDD505-2E9C-101B-9397-08002B2CF9AE}" pid="30" name="ShowFileName">
    <vt:lpwstr>0</vt:lpwstr>
  </property>
</Properties>
</file>